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tblLook w:val="04A0" w:firstRow="1" w:lastRow="0" w:firstColumn="1" w:lastColumn="0" w:noHBand="0" w:noVBand="1"/>
      </w:tblPr>
      <w:tblGrid>
        <w:gridCol w:w="2802"/>
        <w:gridCol w:w="708"/>
        <w:gridCol w:w="5953"/>
      </w:tblGrid>
      <w:tr w:rsidR="00437F74" w:rsidRPr="00437F74" w14:paraId="7FD00F75" w14:textId="77777777" w:rsidTr="00993A73">
        <w:tc>
          <w:tcPr>
            <w:tcW w:w="2802" w:type="dxa"/>
            <w:shd w:val="clear" w:color="auto" w:fill="auto"/>
          </w:tcPr>
          <w:p w14:paraId="1F790093" w14:textId="77777777" w:rsidR="00632FDF" w:rsidRPr="00437F74" w:rsidRDefault="00632FDF" w:rsidP="00746092">
            <w:pPr>
              <w:jc w:val="center"/>
              <w:rPr>
                <w:b/>
                <w:sz w:val="26"/>
              </w:rPr>
            </w:pPr>
            <w:bookmarkStart w:id="0" w:name="_GoBack"/>
            <w:bookmarkEnd w:id="0"/>
            <w:r w:rsidRPr="00437F74">
              <w:rPr>
                <w:b/>
                <w:sz w:val="26"/>
              </w:rPr>
              <w:t>ỦY BAN NHÂN DÂN</w:t>
            </w:r>
          </w:p>
          <w:p w14:paraId="0017DA47" w14:textId="77777777" w:rsidR="00632FDF" w:rsidRPr="00437F74" w:rsidRDefault="00632FDF" w:rsidP="00746092">
            <w:pPr>
              <w:jc w:val="center"/>
              <w:rPr>
                <w:b/>
                <w:sz w:val="26"/>
              </w:rPr>
            </w:pPr>
            <w:r w:rsidRPr="00437F74">
              <w:rPr>
                <w:b/>
                <w:sz w:val="26"/>
              </w:rPr>
              <w:t>HUYỆN ĐĂK HÀ</w:t>
            </w:r>
          </w:p>
        </w:tc>
        <w:tc>
          <w:tcPr>
            <w:tcW w:w="708" w:type="dxa"/>
            <w:shd w:val="clear" w:color="auto" w:fill="auto"/>
          </w:tcPr>
          <w:p w14:paraId="2E1D8539" w14:textId="77777777" w:rsidR="00632FDF" w:rsidRPr="00437F74" w:rsidRDefault="00632FDF" w:rsidP="00746092"/>
        </w:tc>
        <w:tc>
          <w:tcPr>
            <w:tcW w:w="5953" w:type="dxa"/>
            <w:shd w:val="clear" w:color="auto" w:fill="auto"/>
          </w:tcPr>
          <w:p w14:paraId="3D8CB4B9" w14:textId="77777777" w:rsidR="00632FDF" w:rsidRPr="00437F74" w:rsidRDefault="00632FDF" w:rsidP="00746092">
            <w:pPr>
              <w:jc w:val="center"/>
              <w:rPr>
                <w:b/>
                <w:sz w:val="26"/>
              </w:rPr>
            </w:pPr>
            <w:r w:rsidRPr="00437F74">
              <w:rPr>
                <w:b/>
                <w:sz w:val="26"/>
              </w:rPr>
              <w:t>CỘNG HÒA XÃ HỘI CHỦ NGHĨA VIỆT NAM</w:t>
            </w:r>
          </w:p>
          <w:p w14:paraId="59FDFC97" w14:textId="77777777" w:rsidR="00632FDF" w:rsidRPr="00437F74" w:rsidRDefault="00632FDF" w:rsidP="00746092">
            <w:pPr>
              <w:jc w:val="center"/>
              <w:rPr>
                <w:b/>
              </w:rPr>
            </w:pPr>
            <w:r w:rsidRPr="00437F74">
              <w:rPr>
                <w:b/>
                <w:sz w:val="28"/>
              </w:rPr>
              <w:t>Độc lập -Tự do - Hạnh phúc</w:t>
            </w:r>
          </w:p>
        </w:tc>
      </w:tr>
      <w:tr w:rsidR="00993A73" w:rsidRPr="00437F74" w14:paraId="3D282DF1" w14:textId="77777777" w:rsidTr="00993A73">
        <w:tc>
          <w:tcPr>
            <w:tcW w:w="2802" w:type="dxa"/>
            <w:shd w:val="clear" w:color="auto" w:fill="auto"/>
          </w:tcPr>
          <w:p w14:paraId="6BEDFD34" w14:textId="2A97E491" w:rsidR="00632FDF" w:rsidRPr="00437F74" w:rsidRDefault="008B3178" w:rsidP="00746092">
            <w:pPr>
              <w:spacing w:before="160"/>
              <w:jc w:val="center"/>
              <w:rPr>
                <w:b/>
                <w:spacing w:val="-20"/>
                <w:sz w:val="28"/>
                <w:szCs w:val="28"/>
              </w:rPr>
            </w:pPr>
            <w:r>
              <w:rPr>
                <w:spacing w:val="-20"/>
                <w:sz w:val="28"/>
                <w:szCs w:val="28"/>
              </w:rPr>
              <mc:AlternateContent>
                <mc:Choice Requires="wps">
                  <w:drawing>
                    <wp:anchor distT="0" distB="0" distL="114300" distR="114300" simplePos="0" relativeHeight="251657728" behindDoc="0" locked="0" layoutInCell="1" allowOverlap="1" wp14:anchorId="1765EE1E" wp14:editId="3627A955">
                      <wp:simplePos x="0" y="0"/>
                      <wp:positionH relativeFrom="column">
                        <wp:posOffset>339725</wp:posOffset>
                      </wp:positionH>
                      <wp:positionV relativeFrom="paragraph">
                        <wp:posOffset>28575</wp:posOffset>
                      </wp:positionV>
                      <wp:extent cx="930275" cy="0"/>
                      <wp:effectExtent l="14605" t="6350" r="7620" b="127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6C560" id="_x0000_t32" coordsize="21600,21600" o:spt="32" o:oned="t" path="m,l21600,21600e" filled="f">
                      <v:path arrowok="t" fillok="f" o:connecttype="none"/>
                      <o:lock v:ext="edit" shapetype="t"/>
                    </v:shapetype>
                    <v:shape id="AutoShape 15" o:spid="_x0000_s1026" type="#_x0000_t32" style="position:absolute;margin-left:26.75pt;margin-top:2.25pt;width:7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Sj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" strokeweight="1pt"/>
                  </w:pict>
                </mc:Fallback>
              </mc:AlternateContent>
            </w:r>
            <w:r w:rsidR="00507A4F">
              <w:rPr>
                <w:spacing w:val="-20"/>
                <w:sz w:val="28"/>
                <w:szCs w:val="28"/>
              </w:rPr>
              <w:t xml:space="preserve">Số:        </w:t>
            </w:r>
            <w:r w:rsidR="00632FDF" w:rsidRPr="00437F74">
              <w:rPr>
                <w:spacing w:val="-20"/>
                <w:sz w:val="28"/>
                <w:szCs w:val="28"/>
              </w:rPr>
              <w:t xml:space="preserve">   /PA-UBND</w:t>
            </w:r>
          </w:p>
        </w:tc>
        <w:tc>
          <w:tcPr>
            <w:tcW w:w="708" w:type="dxa"/>
            <w:shd w:val="clear" w:color="auto" w:fill="auto"/>
          </w:tcPr>
          <w:p w14:paraId="24179DEB" w14:textId="77777777" w:rsidR="00632FDF" w:rsidRPr="00437F74" w:rsidRDefault="00632FDF" w:rsidP="00746092">
            <w:pPr>
              <w:spacing w:before="160"/>
              <w:rPr>
                <w:sz w:val="28"/>
                <w:szCs w:val="28"/>
              </w:rPr>
            </w:pPr>
          </w:p>
        </w:tc>
        <w:tc>
          <w:tcPr>
            <w:tcW w:w="5953" w:type="dxa"/>
            <w:shd w:val="clear" w:color="auto" w:fill="auto"/>
          </w:tcPr>
          <w:p w14:paraId="3911F4BF" w14:textId="30C8CD58" w:rsidR="00632FDF" w:rsidRPr="00437F74" w:rsidRDefault="008B3178" w:rsidP="00746092">
            <w:pPr>
              <w:spacing w:before="160"/>
              <w:jc w:val="center"/>
              <w:rPr>
                <w:i/>
                <w:sz w:val="28"/>
                <w:szCs w:val="28"/>
              </w:rPr>
            </w:pPr>
            <w:r>
              <w:rPr>
                <w:sz w:val="28"/>
                <w:szCs w:val="28"/>
              </w:rPr>
              <mc:AlternateContent>
                <mc:Choice Requires="wps">
                  <w:drawing>
                    <wp:anchor distT="0" distB="0" distL="114300" distR="114300" simplePos="0" relativeHeight="251658752" behindDoc="0" locked="0" layoutInCell="1" allowOverlap="1" wp14:anchorId="3C6CC0E0" wp14:editId="3C9B66F0">
                      <wp:simplePos x="0" y="0"/>
                      <wp:positionH relativeFrom="column">
                        <wp:posOffset>869950</wp:posOffset>
                      </wp:positionH>
                      <wp:positionV relativeFrom="paragraph">
                        <wp:posOffset>36830</wp:posOffset>
                      </wp:positionV>
                      <wp:extent cx="1924685" cy="0"/>
                      <wp:effectExtent l="11430" t="14605" r="6985"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ADF69" id="AutoShape 16" o:spid="_x0000_s1026" type="#_x0000_t32" style="position:absolute;margin-left:68.5pt;margin-top:2.9pt;width:15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k5IAIAAD0EAAAOAAAAZHJzL2Uyb0RvYy54bWysU9tu2zAMfR+wfxD0nvoyN02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" strokeweight="1pt"/>
                  </w:pict>
                </mc:Fallback>
              </mc:AlternateContent>
            </w:r>
            <w:r w:rsidR="00507A4F">
              <w:rPr>
                <w:i/>
                <w:sz w:val="28"/>
                <w:szCs w:val="28"/>
              </w:rPr>
              <w:t xml:space="preserve">           </w:t>
            </w:r>
            <w:r w:rsidR="00632FDF" w:rsidRPr="00437F74">
              <w:rPr>
                <w:i/>
                <w:sz w:val="28"/>
                <w:szCs w:val="28"/>
              </w:rPr>
              <w:t>Đăk Hà, ngày       tháng      năm</w:t>
            </w:r>
            <w:r w:rsidR="009A2F5C" w:rsidRPr="00437F74">
              <w:rPr>
                <w:i/>
                <w:sz w:val="28"/>
                <w:szCs w:val="28"/>
              </w:rPr>
              <w:t xml:space="preserve"> 202</w:t>
            </w:r>
            <w:r w:rsidR="003A55F1" w:rsidRPr="00437F74">
              <w:rPr>
                <w:i/>
                <w:sz w:val="28"/>
                <w:szCs w:val="28"/>
              </w:rPr>
              <w:t>3</w:t>
            </w:r>
          </w:p>
          <w:p w14:paraId="00E71BF5" w14:textId="77777777" w:rsidR="009A2F5C" w:rsidRPr="00437F74" w:rsidRDefault="009A2F5C" w:rsidP="00746092">
            <w:pPr>
              <w:spacing w:before="160"/>
              <w:jc w:val="center"/>
              <w:rPr>
                <w:b/>
                <w:sz w:val="2"/>
                <w:szCs w:val="2"/>
              </w:rPr>
            </w:pPr>
          </w:p>
        </w:tc>
      </w:tr>
    </w:tbl>
    <w:p w14:paraId="49774946" w14:textId="77777777" w:rsidR="0021035F" w:rsidRPr="00437F74" w:rsidRDefault="0021035F" w:rsidP="0021035F">
      <w:pPr>
        <w:jc w:val="both"/>
        <w:rPr>
          <w:i/>
          <w:sz w:val="10"/>
          <w:szCs w:val="28"/>
        </w:rPr>
      </w:pPr>
    </w:p>
    <w:p w14:paraId="0042D5C1" w14:textId="77777777" w:rsidR="0034482A" w:rsidRPr="00437F74" w:rsidRDefault="0034482A" w:rsidP="0034482A">
      <w:pPr>
        <w:jc w:val="center"/>
        <w:rPr>
          <w:b/>
          <w:sz w:val="28"/>
          <w:szCs w:val="28"/>
        </w:rPr>
      </w:pPr>
      <w:r w:rsidRPr="00437F74">
        <w:rPr>
          <w:b/>
          <w:sz w:val="28"/>
          <w:szCs w:val="28"/>
        </w:rPr>
        <w:t>PHƯƠNG ÁN</w:t>
      </w:r>
    </w:p>
    <w:p w14:paraId="1F0EFFFE" w14:textId="417007D4" w:rsidR="0021035F" w:rsidRPr="00437F74" w:rsidRDefault="00DA3366" w:rsidP="00A40106">
      <w:pPr>
        <w:jc w:val="center"/>
        <w:rPr>
          <w:b/>
          <w:bCs/>
          <w:sz w:val="28"/>
          <w:lang w:val="nl-NL"/>
        </w:rPr>
      </w:pPr>
      <w:bookmarkStart w:id="1" w:name="_Hlk89507852"/>
      <w:r w:rsidRPr="00437F74">
        <w:rPr>
          <w:b/>
          <w:sz w:val="28"/>
          <w:szCs w:val="28"/>
        </w:rPr>
        <w:t>P</w:t>
      </w:r>
      <w:r w:rsidR="0021035F" w:rsidRPr="00437F74">
        <w:rPr>
          <w:b/>
          <w:sz w:val="28"/>
          <w:szCs w:val="28"/>
        </w:rPr>
        <w:t xml:space="preserve">hân bổ dự toán </w:t>
      </w:r>
      <w:r w:rsidR="00AE5CE7" w:rsidRPr="00437F74">
        <w:rPr>
          <w:b/>
          <w:sz w:val="28"/>
          <w:szCs w:val="28"/>
        </w:rPr>
        <w:t xml:space="preserve">thu, </w:t>
      </w:r>
      <w:r w:rsidR="000B01C1" w:rsidRPr="00437F74">
        <w:rPr>
          <w:b/>
          <w:sz w:val="28"/>
          <w:szCs w:val="28"/>
        </w:rPr>
        <w:t>chi ngân sách</w:t>
      </w:r>
      <w:r w:rsidR="00D90977">
        <w:rPr>
          <w:b/>
          <w:sz w:val="28"/>
          <w:szCs w:val="28"/>
        </w:rPr>
        <w:t xml:space="preserve"> </w:t>
      </w:r>
      <w:r w:rsidR="00AE5CE7" w:rsidRPr="00437F74">
        <w:rPr>
          <w:b/>
          <w:sz w:val="28"/>
          <w:szCs w:val="28"/>
        </w:rPr>
        <w:t>huyện</w:t>
      </w:r>
      <w:r w:rsidR="00A40106" w:rsidRPr="00437F74">
        <w:rPr>
          <w:b/>
          <w:bCs/>
          <w:sz w:val="28"/>
          <w:lang w:val="nl-NL"/>
        </w:rPr>
        <w:t xml:space="preserve"> năm 20</w:t>
      </w:r>
      <w:r w:rsidR="007A47F3" w:rsidRPr="00437F74">
        <w:rPr>
          <w:b/>
          <w:bCs/>
          <w:sz w:val="28"/>
          <w:lang w:val="nl-NL"/>
        </w:rPr>
        <w:t>2</w:t>
      </w:r>
      <w:r w:rsidR="003A55F1" w:rsidRPr="00437F74">
        <w:rPr>
          <w:b/>
          <w:bCs/>
          <w:sz w:val="28"/>
          <w:lang w:val="nl-NL"/>
        </w:rPr>
        <w:t>4</w:t>
      </w:r>
    </w:p>
    <w:bookmarkEnd w:id="1"/>
    <w:p w14:paraId="1D7F7391" w14:textId="482281B7" w:rsidR="0021035F" w:rsidRPr="00437F74" w:rsidRDefault="008B3178" w:rsidP="00DB1C57">
      <w:pPr>
        <w:jc w:val="both"/>
        <w:rPr>
          <w:b/>
          <w:sz w:val="28"/>
          <w:szCs w:val="28"/>
        </w:rPr>
      </w:pPr>
      <w:r>
        <w:rPr>
          <w:b/>
          <w:sz w:val="28"/>
          <w:szCs w:val="28"/>
        </w:rPr>
        <mc:AlternateContent>
          <mc:Choice Requires="wps">
            <w:drawing>
              <wp:anchor distT="0" distB="0" distL="114300" distR="114300" simplePos="0" relativeHeight="251656704" behindDoc="0" locked="0" layoutInCell="1" allowOverlap="1" wp14:anchorId="33303242" wp14:editId="3FB970A0">
                <wp:simplePos x="0" y="0"/>
                <wp:positionH relativeFrom="column">
                  <wp:posOffset>2286000</wp:posOffset>
                </wp:positionH>
                <wp:positionV relativeFrom="paragraph">
                  <wp:posOffset>64135</wp:posOffset>
                </wp:positionV>
                <wp:extent cx="1257300" cy="0"/>
                <wp:effectExtent l="8255" t="12700" r="1079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895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05pt" to="2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"/>
            </w:pict>
          </mc:Fallback>
        </mc:AlternateContent>
      </w:r>
    </w:p>
    <w:p w14:paraId="3D813DB2" w14:textId="77777777" w:rsidR="00E077DA" w:rsidRPr="00437F74" w:rsidRDefault="00CA11BC" w:rsidP="003E3199">
      <w:pPr>
        <w:spacing w:after="60"/>
        <w:jc w:val="both"/>
        <w:rPr>
          <w:i/>
          <w:sz w:val="28"/>
          <w:szCs w:val="28"/>
        </w:rPr>
      </w:pPr>
      <w:r w:rsidRPr="00437F74">
        <w:rPr>
          <w:sz w:val="28"/>
          <w:szCs w:val="28"/>
        </w:rPr>
        <w:tab/>
      </w:r>
      <w:r w:rsidR="00E077DA" w:rsidRPr="00437F74">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22289C19" w14:textId="77777777" w:rsidR="0059330A" w:rsidRPr="0059330A" w:rsidRDefault="0059330A" w:rsidP="003E3199">
      <w:pPr>
        <w:spacing w:after="60"/>
        <w:ind w:firstLine="567"/>
        <w:jc w:val="both"/>
        <w:rPr>
          <w:i/>
          <w:sz w:val="28"/>
          <w:szCs w:val="28"/>
        </w:rPr>
      </w:pPr>
      <w:r w:rsidRPr="0059330A">
        <w:rPr>
          <w:i/>
          <w:sz w:val="28"/>
          <w:szCs w:val="28"/>
        </w:rPr>
        <w:t>Căn cứ Luật Ngân sách nhà nước ngày 25 tháng 6 năm 2015; Nghị định số 163/2016/NĐ-CP ngày 21 tháng 12 năm 2016 của Chính phủ quy định chi tiết thi hành một số điều của Luật Ngân sách nhà nước;</w:t>
      </w:r>
    </w:p>
    <w:p w14:paraId="0AF93B09" w14:textId="77777777" w:rsidR="00704470" w:rsidRPr="00437F74" w:rsidRDefault="00980834" w:rsidP="003E3199">
      <w:pPr>
        <w:spacing w:before="60" w:after="60"/>
        <w:ind w:firstLine="567"/>
        <w:jc w:val="both"/>
        <w:rPr>
          <w:sz w:val="28"/>
          <w:szCs w:val="28"/>
        </w:rPr>
      </w:pPr>
      <w:r w:rsidRPr="00437F74">
        <w:rPr>
          <w:sz w:val="28"/>
          <w:szCs w:val="28"/>
        </w:rPr>
        <w:t>Căn cứ tình hình thực hiện dự toán ngân sách địa phương năm 20</w:t>
      </w:r>
      <w:r w:rsidR="006A47EC" w:rsidRPr="00437F74">
        <w:rPr>
          <w:sz w:val="28"/>
          <w:szCs w:val="28"/>
        </w:rPr>
        <w:t>2</w:t>
      </w:r>
      <w:r w:rsidR="003A55F1" w:rsidRPr="00437F74">
        <w:rPr>
          <w:sz w:val="28"/>
          <w:szCs w:val="28"/>
        </w:rPr>
        <w:t>3</w:t>
      </w:r>
      <w:r w:rsidR="009512CD" w:rsidRPr="00437F74">
        <w:rPr>
          <w:sz w:val="28"/>
          <w:szCs w:val="28"/>
        </w:rPr>
        <w:t>, nhiệm vụ phát triển kinh tế - xã hội và khả năng ngân sách năm 20</w:t>
      </w:r>
      <w:r w:rsidR="007A47F3" w:rsidRPr="00437F74">
        <w:rPr>
          <w:sz w:val="28"/>
          <w:szCs w:val="28"/>
        </w:rPr>
        <w:t>2</w:t>
      </w:r>
      <w:r w:rsidR="003A55F1" w:rsidRPr="00437F74">
        <w:rPr>
          <w:sz w:val="28"/>
          <w:szCs w:val="28"/>
        </w:rPr>
        <w:t>4</w:t>
      </w:r>
      <w:r w:rsidR="009512CD" w:rsidRPr="00437F74">
        <w:rPr>
          <w:sz w:val="28"/>
          <w:szCs w:val="28"/>
        </w:rPr>
        <w:t xml:space="preserve">; </w:t>
      </w:r>
      <w:r w:rsidR="00704470" w:rsidRPr="00437F74">
        <w:rPr>
          <w:sz w:val="28"/>
          <w:szCs w:val="28"/>
        </w:rPr>
        <w:t>Ủy ban nhân dân huyện Đăk</w:t>
      </w:r>
      <w:r w:rsidR="00507A4F">
        <w:rPr>
          <w:sz w:val="28"/>
          <w:szCs w:val="28"/>
        </w:rPr>
        <w:t xml:space="preserve"> </w:t>
      </w:r>
      <w:r w:rsidR="00704470" w:rsidRPr="00437F74">
        <w:rPr>
          <w:sz w:val="28"/>
          <w:szCs w:val="28"/>
        </w:rPr>
        <w:t xml:space="preserve">Hà </w:t>
      </w:r>
      <w:r w:rsidR="00DA3366" w:rsidRPr="00437F74">
        <w:rPr>
          <w:sz w:val="28"/>
          <w:szCs w:val="28"/>
        </w:rPr>
        <w:t>lập</w:t>
      </w:r>
      <w:r w:rsidR="009512CD" w:rsidRPr="00437F74">
        <w:rPr>
          <w:sz w:val="28"/>
          <w:szCs w:val="28"/>
        </w:rPr>
        <w:t xml:space="preserve"> dự toán </w:t>
      </w:r>
      <w:r w:rsidR="006A47EC" w:rsidRPr="00437F74">
        <w:rPr>
          <w:sz w:val="28"/>
          <w:szCs w:val="28"/>
        </w:rPr>
        <w:t xml:space="preserve">thu, chi </w:t>
      </w:r>
      <w:r w:rsidR="009512CD" w:rsidRPr="00437F74">
        <w:rPr>
          <w:sz w:val="28"/>
          <w:szCs w:val="28"/>
        </w:rPr>
        <w:t xml:space="preserve">ngân sách địa phương và </w:t>
      </w:r>
      <w:r w:rsidR="00704470" w:rsidRPr="00437F74">
        <w:rPr>
          <w:sz w:val="28"/>
          <w:szCs w:val="28"/>
        </w:rPr>
        <w:t xml:space="preserve">phương án phân bổ </w:t>
      </w:r>
      <w:r w:rsidR="001A6934" w:rsidRPr="00437F74">
        <w:rPr>
          <w:sz w:val="28"/>
          <w:szCs w:val="28"/>
        </w:rPr>
        <w:t>ngân sách</w:t>
      </w:r>
      <w:r w:rsidR="00507A4F">
        <w:rPr>
          <w:sz w:val="28"/>
          <w:szCs w:val="28"/>
        </w:rPr>
        <w:t xml:space="preserve"> </w:t>
      </w:r>
      <w:r w:rsidR="00AD42FF" w:rsidRPr="00437F74">
        <w:rPr>
          <w:sz w:val="28"/>
          <w:szCs w:val="28"/>
        </w:rPr>
        <w:t>huyện</w:t>
      </w:r>
      <w:r w:rsidR="00507A4F">
        <w:rPr>
          <w:sz w:val="28"/>
          <w:szCs w:val="28"/>
        </w:rPr>
        <w:t xml:space="preserve"> </w:t>
      </w:r>
      <w:r w:rsidR="001A6934" w:rsidRPr="00437F74">
        <w:rPr>
          <w:sz w:val="28"/>
          <w:szCs w:val="28"/>
        </w:rPr>
        <w:t>năm 20</w:t>
      </w:r>
      <w:r w:rsidR="007A47F3" w:rsidRPr="00437F74">
        <w:rPr>
          <w:sz w:val="28"/>
          <w:szCs w:val="28"/>
        </w:rPr>
        <w:t>2</w:t>
      </w:r>
      <w:r w:rsidR="003A55F1" w:rsidRPr="00437F74">
        <w:rPr>
          <w:sz w:val="28"/>
          <w:szCs w:val="28"/>
        </w:rPr>
        <w:t>4</w:t>
      </w:r>
      <w:r w:rsidR="00704470" w:rsidRPr="00437F74">
        <w:rPr>
          <w:sz w:val="28"/>
          <w:szCs w:val="28"/>
        </w:rPr>
        <w:t xml:space="preserve"> như sau:</w:t>
      </w:r>
    </w:p>
    <w:p w14:paraId="165A747B" w14:textId="77777777" w:rsidR="006B0E66" w:rsidRPr="00437F74" w:rsidRDefault="006B0E66" w:rsidP="003E3199">
      <w:pPr>
        <w:spacing w:before="60" w:after="60"/>
        <w:ind w:firstLine="567"/>
        <w:rPr>
          <w:b/>
          <w:sz w:val="10"/>
          <w:szCs w:val="10"/>
        </w:rPr>
      </w:pPr>
    </w:p>
    <w:p w14:paraId="27334C9B" w14:textId="77777777" w:rsidR="002063DB" w:rsidRPr="00437F74" w:rsidRDefault="00BE5599" w:rsidP="003E3199">
      <w:pPr>
        <w:spacing w:before="60" w:after="60"/>
        <w:ind w:firstLine="567"/>
        <w:rPr>
          <w:b/>
          <w:sz w:val="28"/>
          <w:szCs w:val="28"/>
        </w:rPr>
      </w:pPr>
      <w:r w:rsidRPr="00437F74">
        <w:rPr>
          <w:b/>
          <w:sz w:val="28"/>
          <w:szCs w:val="28"/>
        </w:rPr>
        <w:t xml:space="preserve">I. </w:t>
      </w:r>
      <w:r w:rsidR="009E0687" w:rsidRPr="00437F74">
        <w:rPr>
          <w:b/>
          <w:sz w:val="28"/>
          <w:szCs w:val="28"/>
        </w:rPr>
        <w:t>NGUYÊN TẮC PHÂN BỔ DỰ TOÁN NG</w:t>
      </w:r>
      <w:r w:rsidR="00256ECF" w:rsidRPr="00437F74">
        <w:rPr>
          <w:b/>
          <w:sz w:val="28"/>
          <w:szCs w:val="28"/>
        </w:rPr>
        <w:t>Â</w:t>
      </w:r>
      <w:r w:rsidR="009E0687" w:rsidRPr="00437F74">
        <w:rPr>
          <w:b/>
          <w:sz w:val="28"/>
          <w:szCs w:val="28"/>
        </w:rPr>
        <w:t>N SÁCH NĂM</w:t>
      </w:r>
      <w:r w:rsidR="00DD3ACE" w:rsidRPr="00437F74">
        <w:rPr>
          <w:b/>
          <w:sz w:val="28"/>
          <w:szCs w:val="28"/>
        </w:rPr>
        <w:t xml:space="preserve"> 202</w:t>
      </w:r>
      <w:r w:rsidR="003A55F1" w:rsidRPr="00437F74">
        <w:rPr>
          <w:b/>
          <w:sz w:val="28"/>
          <w:szCs w:val="28"/>
        </w:rPr>
        <w:t>4</w:t>
      </w:r>
    </w:p>
    <w:p w14:paraId="760E9971" w14:textId="77777777" w:rsidR="00D76040" w:rsidRPr="00437F74" w:rsidRDefault="003A55F1" w:rsidP="003E3199">
      <w:pPr>
        <w:spacing w:after="60"/>
        <w:ind w:firstLine="567"/>
        <w:jc w:val="both"/>
        <w:rPr>
          <w:sz w:val="28"/>
          <w:szCs w:val="28"/>
        </w:rPr>
      </w:pPr>
      <w:r w:rsidRPr="00437F74">
        <w:rPr>
          <w:sz w:val="28"/>
          <w:szCs w:val="28"/>
        </w:rPr>
        <w:t>Trên cơ sở đánh giá thực hiện năm 2023; các định hướng mục tiêu, kế hoạch phát triển kinh tế - xã hội năm 2024 theo Chỉ thị của Thủ tướng Chính phủ; định hướng mục tiêu, kế hoạch phát triển kinh tế xã hội giai đoạn 2021-2025, các đơn vị, địa phương xác định nhiệm vụ trọng tâm thực hiện trong năm 2024, chủ động sắp xếp các khoản chi và thứ tự ưu tiên thực hiện các nhiệm vụ, kế hoạch, chương trình, dự án, đề án đã được cấp có thẩm quyền phê duyệt theo mức độ cấp thiết, quan trọng và khả năng triển khai thực hiện năm 2024 trên cơ sở nguồn NSNN được phân bổ và các nguồn huy động hợp pháp khác; quán triệt chủ trương triệt để tiết kiệm, chống lãng phí ngay từ khâu lập dự toán; chủ động dự kiến dự toán đầy đủ nhu cầu kinh phí thực hiện các chính sách, chế độ, nhiệm vụ mới đã được cấp có thẩm quyền quyết định, cho chủ trương triển khai thực hiện</w:t>
      </w:r>
      <w:r w:rsidR="00D76040" w:rsidRPr="00437F74">
        <w:rPr>
          <w:sz w:val="28"/>
          <w:szCs w:val="28"/>
        </w:rPr>
        <w:t xml:space="preserve">. </w:t>
      </w:r>
    </w:p>
    <w:p w14:paraId="29217AAA" w14:textId="77777777" w:rsidR="00BE6F16" w:rsidRPr="00437F74" w:rsidRDefault="00E077DA" w:rsidP="003E3199">
      <w:pPr>
        <w:spacing w:before="60" w:after="60"/>
        <w:ind w:firstLine="567"/>
        <w:jc w:val="both"/>
        <w:rPr>
          <w:i/>
          <w:sz w:val="28"/>
          <w:szCs w:val="28"/>
        </w:rPr>
      </w:pPr>
      <w:r w:rsidRPr="00437F74">
        <w:rPr>
          <w:sz w:val="28"/>
          <w:szCs w:val="28"/>
        </w:rPr>
        <w:t>-</w:t>
      </w:r>
      <w:r w:rsidR="003032C4">
        <w:rPr>
          <w:sz w:val="28"/>
          <w:szCs w:val="28"/>
        </w:rPr>
        <w:t xml:space="preserve"> </w:t>
      </w:r>
      <w:r w:rsidR="00DA3366" w:rsidRPr="00437F74">
        <w:rPr>
          <w:sz w:val="28"/>
          <w:szCs w:val="28"/>
        </w:rPr>
        <w:t>V</w:t>
      </w:r>
      <w:r w:rsidR="00F10B57" w:rsidRPr="00437F74">
        <w:rPr>
          <w:sz w:val="28"/>
          <w:szCs w:val="28"/>
        </w:rPr>
        <w:t>iệc phân bổ và giao</w:t>
      </w:r>
      <w:r w:rsidR="00BE6F16" w:rsidRPr="00437F74">
        <w:rPr>
          <w:sz w:val="28"/>
          <w:szCs w:val="28"/>
        </w:rPr>
        <w:t xml:space="preserve"> dự toán thu, chi ngân sách </w:t>
      </w:r>
      <w:r w:rsidR="00CB0B96" w:rsidRPr="00437F74">
        <w:rPr>
          <w:sz w:val="28"/>
          <w:szCs w:val="28"/>
        </w:rPr>
        <w:t>được xây dựng trên cơ sở đánh giá khả năng thực hiện ngân sách năm 20</w:t>
      </w:r>
      <w:r w:rsidR="006A47EC" w:rsidRPr="00437F74">
        <w:rPr>
          <w:sz w:val="28"/>
          <w:szCs w:val="28"/>
        </w:rPr>
        <w:t>2</w:t>
      </w:r>
      <w:r w:rsidR="003A55F1" w:rsidRPr="00437F74">
        <w:rPr>
          <w:sz w:val="28"/>
          <w:szCs w:val="28"/>
        </w:rPr>
        <w:t>3</w:t>
      </w:r>
      <w:r w:rsidR="00AD3F0A" w:rsidRPr="00437F74">
        <w:rPr>
          <w:sz w:val="28"/>
          <w:szCs w:val="28"/>
        </w:rPr>
        <w:t xml:space="preserve">, </w:t>
      </w:r>
      <w:r w:rsidR="00F10B57" w:rsidRPr="00437F74">
        <w:rPr>
          <w:sz w:val="28"/>
          <w:szCs w:val="28"/>
        </w:rPr>
        <w:t xml:space="preserve">các quy định của Luật </w:t>
      </w:r>
      <w:r w:rsidR="008254BA" w:rsidRPr="00437F74">
        <w:rPr>
          <w:sz w:val="28"/>
          <w:szCs w:val="28"/>
        </w:rPr>
        <w:t>ngân sách nhà nước</w:t>
      </w:r>
      <w:r w:rsidR="00F10B57" w:rsidRPr="00437F74">
        <w:rPr>
          <w:sz w:val="28"/>
          <w:szCs w:val="28"/>
        </w:rPr>
        <w:t xml:space="preserve">, các Luật thuế, các văn bản hướng dẫn thực hiện Luật trên cơ sở mục tiêu, nhiệm vụ phát triển kinh tế - xã hội của địa phương. </w:t>
      </w:r>
      <w:r w:rsidR="00AD3F0A" w:rsidRPr="00437F74">
        <w:rPr>
          <w:sz w:val="28"/>
          <w:szCs w:val="28"/>
        </w:rPr>
        <w:t>Tính toán cụ thể các yếu tố tăng</w:t>
      </w:r>
      <w:r w:rsidR="00BE6F16" w:rsidRPr="00437F74">
        <w:rPr>
          <w:sz w:val="28"/>
          <w:szCs w:val="28"/>
        </w:rPr>
        <w:t>,</w:t>
      </w:r>
      <w:r w:rsidR="00AD3F0A" w:rsidRPr="00437F74">
        <w:rPr>
          <w:sz w:val="28"/>
          <w:szCs w:val="28"/>
        </w:rPr>
        <w:t xml:space="preserve"> giảm thu do thực hiện các Luật thuế </w:t>
      </w:r>
      <w:r w:rsidR="00AD30AA" w:rsidRPr="00437F74">
        <w:rPr>
          <w:sz w:val="28"/>
          <w:szCs w:val="28"/>
        </w:rPr>
        <w:t xml:space="preserve">mới sửa đổi, bổ sung. </w:t>
      </w:r>
      <w:r w:rsidR="00F10B57" w:rsidRPr="00437F74">
        <w:rPr>
          <w:sz w:val="28"/>
          <w:szCs w:val="28"/>
        </w:rPr>
        <w:t xml:space="preserve">Dự toán được giao </w:t>
      </w:r>
      <w:r w:rsidR="00BE6F16" w:rsidRPr="00437F74">
        <w:rPr>
          <w:sz w:val="28"/>
          <w:szCs w:val="28"/>
        </w:rPr>
        <w:t>chi tiết</w:t>
      </w:r>
      <w:r w:rsidR="00F10B57" w:rsidRPr="00437F74">
        <w:rPr>
          <w:sz w:val="28"/>
          <w:szCs w:val="28"/>
        </w:rPr>
        <w:t xml:space="preserve"> đối với từng ngành, từng lĩnh vực, từng đơn vị đúng chính sách, đúng chế độ quy định</w:t>
      </w:r>
      <w:r w:rsidR="00DA3366" w:rsidRPr="00437F74">
        <w:rPr>
          <w:sz w:val="28"/>
          <w:szCs w:val="28"/>
        </w:rPr>
        <w:t xml:space="preserve"> hiện hành</w:t>
      </w:r>
      <w:r w:rsidR="00F10B57" w:rsidRPr="00437F74">
        <w:rPr>
          <w:sz w:val="28"/>
          <w:szCs w:val="28"/>
        </w:rPr>
        <w:t xml:space="preserve">. </w:t>
      </w:r>
      <w:r w:rsidR="00F17492" w:rsidRPr="00437F74">
        <w:rPr>
          <w:sz w:val="28"/>
          <w:szCs w:val="28"/>
        </w:rPr>
        <w:t>Phân tích đánh giá cụ thể những tác động do thiên tai ảnh hưởng đến dự toán thu ngân sách nhà nước năm 20</w:t>
      </w:r>
      <w:r w:rsidR="007A47F3" w:rsidRPr="00437F74">
        <w:rPr>
          <w:sz w:val="28"/>
          <w:szCs w:val="28"/>
        </w:rPr>
        <w:t>2</w:t>
      </w:r>
      <w:r w:rsidR="003A55F1" w:rsidRPr="00437F74">
        <w:rPr>
          <w:sz w:val="28"/>
          <w:szCs w:val="28"/>
        </w:rPr>
        <w:t xml:space="preserve">4 </w:t>
      </w:r>
      <w:r w:rsidR="00F17492" w:rsidRPr="00437F74">
        <w:rPr>
          <w:i/>
          <w:sz w:val="28"/>
          <w:szCs w:val="28"/>
        </w:rPr>
        <w:t>(tập trung đánh giá ảnh hưởng đến thu thuế các Nhà máy thủy điện, nguồn thu khí thực hiện các chính sách gia hạn, miễn, giảm thuế</w:t>
      </w:r>
      <w:r w:rsidR="00BB077B" w:rsidRPr="00437F74">
        <w:rPr>
          <w:i/>
          <w:sz w:val="28"/>
          <w:szCs w:val="28"/>
        </w:rPr>
        <w:t>, miễn tiền thuê đất và các chính sách thu mới của cấp có thẩm quyền).</w:t>
      </w:r>
    </w:p>
    <w:p w14:paraId="046B93EB" w14:textId="77777777" w:rsidR="00AB501A" w:rsidRPr="00437F74" w:rsidRDefault="00E077DA" w:rsidP="003E3199">
      <w:pPr>
        <w:spacing w:after="60"/>
        <w:ind w:firstLine="567"/>
        <w:jc w:val="both"/>
        <w:rPr>
          <w:b/>
          <w:sz w:val="28"/>
          <w:szCs w:val="28"/>
        </w:rPr>
      </w:pPr>
      <w:r w:rsidRPr="00437F74">
        <w:rPr>
          <w:sz w:val="28"/>
          <w:szCs w:val="28"/>
        </w:rPr>
        <w:t>-</w:t>
      </w:r>
      <w:r w:rsidR="003032C4">
        <w:rPr>
          <w:sz w:val="28"/>
          <w:szCs w:val="28"/>
        </w:rPr>
        <w:t xml:space="preserve"> </w:t>
      </w:r>
      <w:r w:rsidR="00F10B57" w:rsidRPr="00437F74">
        <w:rPr>
          <w:sz w:val="28"/>
          <w:szCs w:val="28"/>
        </w:rPr>
        <w:t>D</w:t>
      </w:r>
      <w:r w:rsidR="002063DB" w:rsidRPr="00437F74">
        <w:rPr>
          <w:sz w:val="28"/>
          <w:szCs w:val="28"/>
        </w:rPr>
        <w:t>ự toán ngân sách năm 20</w:t>
      </w:r>
      <w:r w:rsidR="007A47F3" w:rsidRPr="00437F74">
        <w:rPr>
          <w:sz w:val="28"/>
          <w:szCs w:val="28"/>
        </w:rPr>
        <w:t>2</w:t>
      </w:r>
      <w:r w:rsidR="003A55F1" w:rsidRPr="00437F74">
        <w:rPr>
          <w:sz w:val="28"/>
          <w:szCs w:val="28"/>
        </w:rPr>
        <w:t>4</w:t>
      </w:r>
      <w:r w:rsidR="002063DB" w:rsidRPr="00437F74">
        <w:rPr>
          <w:sz w:val="28"/>
          <w:szCs w:val="28"/>
        </w:rPr>
        <w:t xml:space="preserve"> được xây dựng trên cơ sở dự toán </w:t>
      </w:r>
      <w:r w:rsidR="008254BA" w:rsidRPr="00437F74">
        <w:rPr>
          <w:sz w:val="28"/>
          <w:szCs w:val="28"/>
        </w:rPr>
        <w:t>Ủy ban nhân dân</w:t>
      </w:r>
      <w:r w:rsidR="002063DB" w:rsidRPr="00437F74">
        <w:rPr>
          <w:sz w:val="28"/>
          <w:szCs w:val="28"/>
        </w:rPr>
        <w:t xml:space="preserve"> tỉnh Kon Tum gia</w:t>
      </w:r>
      <w:r w:rsidR="00D55491" w:rsidRPr="00437F74">
        <w:rPr>
          <w:sz w:val="28"/>
          <w:szCs w:val="28"/>
        </w:rPr>
        <w:t>o, kết quả thu ngân sách năm 20</w:t>
      </w:r>
      <w:r w:rsidR="006A47EC" w:rsidRPr="00437F74">
        <w:rPr>
          <w:sz w:val="28"/>
          <w:szCs w:val="28"/>
        </w:rPr>
        <w:t>2</w:t>
      </w:r>
      <w:r w:rsidR="003A55F1" w:rsidRPr="00437F74">
        <w:rPr>
          <w:sz w:val="28"/>
          <w:szCs w:val="28"/>
        </w:rPr>
        <w:t>3</w:t>
      </w:r>
      <w:r w:rsidR="002063DB" w:rsidRPr="00437F74">
        <w:rPr>
          <w:sz w:val="28"/>
          <w:szCs w:val="28"/>
        </w:rPr>
        <w:t xml:space="preserve"> và nhiệm vụ phát triển các chỉ tiêu kinh tế </w:t>
      </w:r>
      <w:r w:rsidR="00D55491" w:rsidRPr="00437F74">
        <w:rPr>
          <w:sz w:val="28"/>
          <w:szCs w:val="28"/>
        </w:rPr>
        <w:t>- xã hội năm 20</w:t>
      </w:r>
      <w:r w:rsidR="007A47F3" w:rsidRPr="00437F74">
        <w:rPr>
          <w:sz w:val="28"/>
          <w:szCs w:val="28"/>
        </w:rPr>
        <w:t>2</w:t>
      </w:r>
      <w:r w:rsidR="003A55F1" w:rsidRPr="00437F74">
        <w:rPr>
          <w:sz w:val="28"/>
          <w:szCs w:val="28"/>
        </w:rPr>
        <w:t>4</w:t>
      </w:r>
      <w:r w:rsidR="00CA666C" w:rsidRPr="00437F74">
        <w:rPr>
          <w:sz w:val="28"/>
          <w:szCs w:val="28"/>
        </w:rPr>
        <w:t xml:space="preserve">. </w:t>
      </w:r>
      <w:r w:rsidR="007B4E9A" w:rsidRPr="00437F74">
        <w:rPr>
          <w:sz w:val="28"/>
          <w:szCs w:val="28"/>
        </w:rPr>
        <w:t>Nghị quyết số 5</w:t>
      </w:r>
      <w:r w:rsidR="009339D7" w:rsidRPr="00437F74">
        <w:rPr>
          <w:sz w:val="28"/>
          <w:szCs w:val="28"/>
        </w:rPr>
        <w:t>7</w:t>
      </w:r>
      <w:r w:rsidR="007B4E9A" w:rsidRPr="00437F74">
        <w:rPr>
          <w:sz w:val="28"/>
          <w:szCs w:val="28"/>
        </w:rPr>
        <w:t xml:space="preserve">/2021/NQ-HĐND ngày 09/12/2021 của Hội đồng nhân dân tỉnh ban hành Quy định về phân cấp ngân sách </w:t>
      </w:r>
      <w:r w:rsidR="007B4E9A" w:rsidRPr="00437F74">
        <w:rPr>
          <w:sz w:val="28"/>
          <w:szCs w:val="28"/>
        </w:rPr>
        <w:lastRenderedPageBreak/>
        <w:t>nhà nước tỉnh Kon Tum giai đoạn 2022-2025; Nghị quyết số 5</w:t>
      </w:r>
      <w:r w:rsidR="009339D7" w:rsidRPr="00437F74">
        <w:rPr>
          <w:sz w:val="28"/>
          <w:szCs w:val="28"/>
        </w:rPr>
        <w:t>8</w:t>
      </w:r>
      <w:r w:rsidR="007B4E9A" w:rsidRPr="00437F74">
        <w:rPr>
          <w:sz w:val="28"/>
          <w:szCs w:val="28"/>
        </w:rPr>
        <w:t>/2021/NQ-HĐND ngày 09/12/2021 của Hội đồng nhân dân tỉnh ban hành Quy định về nguyên tắc, tiêu chí, định mức phân bổ chi thường xuyên ngân sách địa phương năm 2022</w:t>
      </w:r>
      <w:r w:rsidR="00993A73" w:rsidRPr="00437F74">
        <w:rPr>
          <w:sz w:val="28"/>
          <w:szCs w:val="28"/>
        </w:rPr>
        <w:t xml:space="preserve">. </w:t>
      </w:r>
      <w:r w:rsidR="00AB501A" w:rsidRPr="00437F74">
        <w:rPr>
          <w:sz w:val="28"/>
          <w:szCs w:val="28"/>
        </w:rPr>
        <w:t>Định mức phân bổ năm 20</w:t>
      </w:r>
      <w:r w:rsidR="007A47F3" w:rsidRPr="00437F74">
        <w:rPr>
          <w:sz w:val="28"/>
          <w:szCs w:val="28"/>
        </w:rPr>
        <w:t>2</w:t>
      </w:r>
      <w:r w:rsidR="003A55F1" w:rsidRPr="00437F74">
        <w:rPr>
          <w:sz w:val="28"/>
          <w:szCs w:val="28"/>
        </w:rPr>
        <w:t>4</w:t>
      </w:r>
      <w:r w:rsidR="00AB501A" w:rsidRPr="00437F74">
        <w:rPr>
          <w:sz w:val="28"/>
          <w:szCs w:val="28"/>
        </w:rPr>
        <w:t xml:space="preserve"> được thực hiện t</w:t>
      </w:r>
      <w:r w:rsidR="00C84286" w:rsidRPr="00437F74">
        <w:rPr>
          <w:sz w:val="28"/>
          <w:szCs w:val="28"/>
        </w:rPr>
        <w:t>heo</w:t>
      </w:r>
      <w:r w:rsidR="00AB501A" w:rsidRPr="00437F74">
        <w:rPr>
          <w:sz w:val="28"/>
          <w:szCs w:val="28"/>
        </w:rPr>
        <w:t xml:space="preserve"> một </w:t>
      </w:r>
      <w:r w:rsidR="007D6CD3" w:rsidRPr="00437F74">
        <w:rPr>
          <w:sz w:val="28"/>
          <w:szCs w:val="28"/>
        </w:rPr>
        <w:t>số nguyên tắc thống nhất sau:</w:t>
      </w:r>
    </w:p>
    <w:p w14:paraId="2E164EC7" w14:textId="77777777" w:rsidR="007579B4" w:rsidRPr="00437F74" w:rsidRDefault="007579B4" w:rsidP="003E3199">
      <w:pPr>
        <w:spacing w:before="60" w:after="60"/>
        <w:ind w:firstLine="567"/>
        <w:jc w:val="both"/>
        <w:rPr>
          <w:b/>
          <w:iCs/>
          <w:sz w:val="28"/>
          <w:szCs w:val="28"/>
        </w:rPr>
      </w:pPr>
      <w:r w:rsidRPr="00437F74">
        <w:rPr>
          <w:b/>
          <w:iCs/>
          <w:sz w:val="28"/>
          <w:szCs w:val="28"/>
        </w:rPr>
        <w:t>1. Phân bổ, giao dự toán thu ngân sách:</w:t>
      </w:r>
    </w:p>
    <w:p w14:paraId="28D8E8CF" w14:textId="77777777" w:rsidR="003A55F1" w:rsidRPr="00437F74" w:rsidRDefault="00E077DA" w:rsidP="003E3199">
      <w:pPr>
        <w:tabs>
          <w:tab w:val="left" w:pos="6270"/>
        </w:tabs>
        <w:spacing w:after="60"/>
        <w:ind w:firstLine="720"/>
        <w:jc w:val="both"/>
        <w:rPr>
          <w:i/>
          <w:sz w:val="28"/>
          <w:szCs w:val="28"/>
          <w:lang w:val="da-DK"/>
        </w:rPr>
      </w:pPr>
      <w:r w:rsidRPr="00437F74">
        <w:rPr>
          <w:sz w:val="28"/>
          <w:szCs w:val="28"/>
        </w:rPr>
        <w:t>-</w:t>
      </w:r>
      <w:r w:rsidR="003032C4">
        <w:rPr>
          <w:sz w:val="28"/>
          <w:szCs w:val="28"/>
        </w:rPr>
        <w:t xml:space="preserve"> </w:t>
      </w:r>
      <w:r w:rsidR="00091C7E" w:rsidRPr="00437F74">
        <w:rPr>
          <w:sz w:val="28"/>
          <w:szCs w:val="28"/>
          <w:lang w:val="vi-VN"/>
        </w:rPr>
        <w:t xml:space="preserve">Dự toán thu </w:t>
      </w:r>
      <w:r w:rsidR="008254BA" w:rsidRPr="00437F74">
        <w:rPr>
          <w:sz w:val="28"/>
          <w:szCs w:val="28"/>
        </w:rPr>
        <w:t>ngân sách nhà nước</w:t>
      </w:r>
      <w:r w:rsidR="00091C7E" w:rsidRPr="00437F74">
        <w:rPr>
          <w:sz w:val="28"/>
          <w:szCs w:val="28"/>
          <w:lang w:val="vi-VN"/>
        </w:rPr>
        <w:t xml:space="preserve"> năm 20</w:t>
      </w:r>
      <w:r w:rsidR="007A47F3" w:rsidRPr="00437F74">
        <w:rPr>
          <w:sz w:val="28"/>
          <w:szCs w:val="28"/>
        </w:rPr>
        <w:t>2</w:t>
      </w:r>
      <w:r w:rsidR="003A55F1" w:rsidRPr="00437F74">
        <w:rPr>
          <w:sz w:val="28"/>
          <w:szCs w:val="28"/>
        </w:rPr>
        <w:t>4</w:t>
      </w:r>
      <w:r w:rsidR="00091C7E" w:rsidRPr="00437F74">
        <w:rPr>
          <w:sz w:val="28"/>
          <w:szCs w:val="28"/>
          <w:lang w:val="vi-VN"/>
        </w:rPr>
        <w:t xml:space="preserve"> xây dựng trên cơ sở đánh giá sát khả năng thực hiện thu ngân sách năm 20</w:t>
      </w:r>
      <w:r w:rsidR="006A47EC" w:rsidRPr="00437F74">
        <w:rPr>
          <w:sz w:val="28"/>
          <w:szCs w:val="28"/>
        </w:rPr>
        <w:t>2</w:t>
      </w:r>
      <w:r w:rsidR="003A55F1" w:rsidRPr="00437F74">
        <w:rPr>
          <w:sz w:val="28"/>
          <w:szCs w:val="28"/>
        </w:rPr>
        <w:t>3</w:t>
      </w:r>
      <w:r w:rsidR="00091C7E" w:rsidRPr="00437F74">
        <w:rPr>
          <w:sz w:val="28"/>
          <w:szCs w:val="28"/>
        </w:rPr>
        <w:t xml:space="preserve"> tích cực theo các giải pháp điều hành thu đã được triển khai nhằm hoàn thành dự toán thu năm 20</w:t>
      </w:r>
      <w:r w:rsidR="006A47EC" w:rsidRPr="00437F74">
        <w:rPr>
          <w:sz w:val="28"/>
          <w:szCs w:val="28"/>
        </w:rPr>
        <w:t>2</w:t>
      </w:r>
      <w:r w:rsidR="00D76040" w:rsidRPr="00437F74">
        <w:rPr>
          <w:sz w:val="28"/>
          <w:szCs w:val="28"/>
        </w:rPr>
        <w:t>2</w:t>
      </w:r>
      <w:r w:rsidR="00BB077B" w:rsidRPr="00437F74">
        <w:rPr>
          <w:sz w:val="28"/>
          <w:szCs w:val="28"/>
        </w:rPr>
        <w:t>;</w:t>
      </w:r>
      <w:r w:rsidR="00184ED9">
        <w:rPr>
          <w:sz w:val="28"/>
          <w:szCs w:val="28"/>
        </w:rPr>
        <w:t xml:space="preserve"> </w:t>
      </w:r>
      <w:r w:rsidR="00091C7E" w:rsidRPr="00437F74">
        <w:rPr>
          <w:sz w:val="28"/>
          <w:szCs w:val="28"/>
          <w:lang w:val="vi-VN"/>
        </w:rPr>
        <w:t>số kiểm tra về dự toán thu năm 20</w:t>
      </w:r>
      <w:r w:rsidR="007A47F3" w:rsidRPr="00437F74">
        <w:rPr>
          <w:sz w:val="28"/>
          <w:szCs w:val="28"/>
        </w:rPr>
        <w:t>2</w:t>
      </w:r>
      <w:r w:rsidR="00D76040" w:rsidRPr="00437F74">
        <w:rPr>
          <w:sz w:val="28"/>
          <w:szCs w:val="28"/>
        </w:rPr>
        <w:t>3</w:t>
      </w:r>
      <w:r w:rsidR="00091C7E" w:rsidRPr="00437F74">
        <w:rPr>
          <w:sz w:val="28"/>
          <w:szCs w:val="28"/>
          <w:lang w:val="vi-VN"/>
        </w:rPr>
        <w:t xml:space="preserve"> đã được </w:t>
      </w:r>
      <w:r w:rsidR="00BE6F16" w:rsidRPr="00437F74">
        <w:rPr>
          <w:sz w:val="28"/>
          <w:szCs w:val="28"/>
        </w:rPr>
        <w:t xml:space="preserve">tỉnh </w:t>
      </w:r>
      <w:r w:rsidR="00091C7E" w:rsidRPr="00437F74">
        <w:rPr>
          <w:sz w:val="28"/>
          <w:szCs w:val="28"/>
          <w:lang w:val="vi-VN"/>
        </w:rPr>
        <w:t>thông báo</w:t>
      </w:r>
      <w:r w:rsidR="00091C7E" w:rsidRPr="00437F74">
        <w:rPr>
          <w:sz w:val="28"/>
          <w:szCs w:val="28"/>
        </w:rPr>
        <w:t xml:space="preserve">; </w:t>
      </w:r>
      <w:r w:rsidR="00BE6F16" w:rsidRPr="00437F74">
        <w:rPr>
          <w:sz w:val="28"/>
          <w:szCs w:val="28"/>
        </w:rPr>
        <w:t>t</w:t>
      </w:r>
      <w:r w:rsidR="00091C7E" w:rsidRPr="00437F74">
        <w:rPr>
          <w:sz w:val="28"/>
          <w:szCs w:val="28"/>
          <w:lang w:val="vi-VN"/>
        </w:rPr>
        <w:t xml:space="preserve">rên cơ sở đó, </w:t>
      </w:r>
      <w:r w:rsidR="003A55F1" w:rsidRPr="00437F74">
        <w:rPr>
          <w:sz w:val="28"/>
          <w:szCs w:val="28"/>
          <w:lang w:val="da-DK"/>
        </w:rPr>
        <w:t xml:space="preserve">thu nội địa năm 2024 </w:t>
      </w:r>
      <w:r w:rsidR="003A55F1" w:rsidRPr="00437F74">
        <w:rPr>
          <w:i/>
          <w:sz w:val="28"/>
          <w:szCs w:val="28"/>
          <w:lang w:val="da-DK"/>
        </w:rPr>
        <w:t>(không kể thu tiền sử dụng đất, thu xổ số kiến thiết, tiền bán vốn nhà nước tại doanh nghiệp, cổ tức, lợi nhuận sau thuế)</w:t>
      </w:r>
      <w:r w:rsidR="003A55F1" w:rsidRPr="00437F74">
        <w:rPr>
          <w:sz w:val="28"/>
          <w:szCs w:val="28"/>
          <w:lang w:val="da-DK"/>
        </w:rPr>
        <w:t xml:space="preserve"> tăng tối thiểu 5-7% so với đánh giá ước thực hiện năm 2023 </w:t>
      </w:r>
      <w:r w:rsidR="003A55F1" w:rsidRPr="00437F74">
        <w:rPr>
          <w:i/>
          <w:sz w:val="28"/>
          <w:szCs w:val="28"/>
          <w:lang w:val="da-DK"/>
        </w:rPr>
        <w:t xml:space="preserve">(sau khi loại trừ các yếu tố tăng, giảm thu do thay đổi chính sách). </w:t>
      </w:r>
    </w:p>
    <w:p w14:paraId="24680FBD" w14:textId="77777777" w:rsidR="008B037D" w:rsidRPr="00437F74" w:rsidRDefault="00E077DA" w:rsidP="003E3199">
      <w:pPr>
        <w:spacing w:before="60" w:after="60"/>
        <w:ind w:firstLine="567"/>
        <w:jc w:val="both"/>
        <w:rPr>
          <w:sz w:val="28"/>
          <w:szCs w:val="28"/>
        </w:rPr>
      </w:pPr>
      <w:r w:rsidRPr="00437F74">
        <w:rPr>
          <w:sz w:val="28"/>
          <w:szCs w:val="28"/>
        </w:rPr>
        <w:t>-</w:t>
      </w:r>
      <w:r w:rsidR="003032C4">
        <w:rPr>
          <w:sz w:val="28"/>
          <w:szCs w:val="28"/>
        </w:rPr>
        <w:t xml:space="preserve"> </w:t>
      </w:r>
      <w:r w:rsidR="008B037D" w:rsidRPr="00437F74">
        <w:rPr>
          <w:sz w:val="28"/>
          <w:szCs w:val="28"/>
          <w:lang w:val="vi-VN"/>
        </w:rPr>
        <w:t>Dự toán thu phải bảo đảm tính đúng, tính đủ từng lĩnh vực thu, từng sắc thuế theo các quy định của pháp luật về thuế, chế độ thu, pháp luật thu từ xử phạt vi phạm hành chính, trong đó, cần chú ý những chế độ, chính sách thu mới được ban hành sửa đổi, bổ sung.</w:t>
      </w:r>
      <w:r w:rsidR="008B037D" w:rsidRPr="00437F74">
        <w:rPr>
          <w:sz w:val="28"/>
          <w:szCs w:val="28"/>
        </w:rPr>
        <w:t xml:space="preserve"> Ngành thuế </w:t>
      </w:r>
      <w:r w:rsidR="00BB077B" w:rsidRPr="00437F74">
        <w:rPr>
          <w:sz w:val="28"/>
          <w:szCs w:val="28"/>
        </w:rPr>
        <w:t>chủ động phối hợp với các cơ quan đơn vị có liên quan đánh giá làm cơ sở dự báo số thu năm 20</w:t>
      </w:r>
      <w:r w:rsidR="007A47F3" w:rsidRPr="00437F74">
        <w:rPr>
          <w:sz w:val="28"/>
          <w:szCs w:val="28"/>
        </w:rPr>
        <w:t>2</w:t>
      </w:r>
      <w:r w:rsidR="003A55F1" w:rsidRPr="00437F74">
        <w:rPr>
          <w:sz w:val="28"/>
          <w:szCs w:val="28"/>
        </w:rPr>
        <w:t>4</w:t>
      </w:r>
      <w:r w:rsidR="00BB077B" w:rsidRPr="00437F74">
        <w:rPr>
          <w:sz w:val="28"/>
          <w:szCs w:val="28"/>
        </w:rPr>
        <w:t>, lưu ý các nguồn thu mới, vãng lai, xây dựng số thu từ hoạt động xây dựng cơ bản… Tăng cường theo dõi, kiểm tra, kiểm soát việc kê khai thuế của các tổ chức, cá nhân nhằm phát hiện và xử lý kịp thời các trường hợp kê khai không đúng, không đủ số thuế phải nộp. Tham mưu quyết liệt công tác chống thất thu, thu hồi nợ đọng từ các năm trước</w:t>
      </w:r>
      <w:r w:rsidR="008E154C" w:rsidRPr="00437F74">
        <w:rPr>
          <w:sz w:val="28"/>
          <w:szCs w:val="28"/>
        </w:rPr>
        <w:t>, hạn chế phát sinh nợ mới.</w:t>
      </w:r>
    </w:p>
    <w:p w14:paraId="47308486" w14:textId="77777777" w:rsidR="008B037D" w:rsidRPr="00437F74" w:rsidRDefault="00E077DA" w:rsidP="003E3199">
      <w:pPr>
        <w:spacing w:before="60" w:after="60"/>
        <w:ind w:firstLine="567"/>
        <w:jc w:val="both"/>
        <w:rPr>
          <w:sz w:val="28"/>
          <w:szCs w:val="28"/>
        </w:rPr>
      </w:pPr>
      <w:r w:rsidRPr="00437F74">
        <w:rPr>
          <w:sz w:val="28"/>
          <w:szCs w:val="28"/>
        </w:rPr>
        <w:t>-</w:t>
      </w:r>
      <w:r w:rsidR="003032C4">
        <w:rPr>
          <w:sz w:val="28"/>
          <w:szCs w:val="28"/>
        </w:rPr>
        <w:t xml:space="preserve"> </w:t>
      </w:r>
      <w:r w:rsidR="007C7B3D" w:rsidRPr="00437F74">
        <w:rPr>
          <w:sz w:val="28"/>
          <w:szCs w:val="28"/>
          <w:lang w:val="vi-VN"/>
        </w:rPr>
        <w:t xml:space="preserve">Các khoản thu được để lại chi theo chế độ </w:t>
      </w:r>
      <w:r w:rsidR="007C7B3D" w:rsidRPr="00437F74">
        <w:rPr>
          <w:i/>
          <w:sz w:val="28"/>
          <w:szCs w:val="28"/>
          <w:lang w:val="vi-VN"/>
        </w:rPr>
        <w:t>(</w:t>
      </w:r>
      <w:r w:rsidR="00F3452E" w:rsidRPr="00437F74">
        <w:rPr>
          <w:i/>
          <w:sz w:val="28"/>
          <w:szCs w:val="28"/>
        </w:rPr>
        <w:t>giá dịch vụ giáo dục</w:t>
      </w:r>
      <w:r w:rsidR="007C7B3D" w:rsidRPr="00437F74">
        <w:rPr>
          <w:i/>
          <w:sz w:val="28"/>
          <w:szCs w:val="28"/>
          <w:lang w:val="de-DE"/>
        </w:rPr>
        <w:t>; phí</w:t>
      </w:r>
      <w:r w:rsidR="007C7B3D" w:rsidRPr="00437F74">
        <w:rPr>
          <w:i/>
          <w:sz w:val="28"/>
          <w:szCs w:val="28"/>
          <w:lang w:val="vi-VN"/>
        </w:rPr>
        <w:t xml:space="preserve"> dịch vụ </w:t>
      </w:r>
      <w:r w:rsidR="007C7B3D" w:rsidRPr="00437F74">
        <w:rPr>
          <w:i/>
          <w:sz w:val="28"/>
          <w:szCs w:val="28"/>
          <w:lang w:val="de-DE"/>
        </w:rPr>
        <w:t xml:space="preserve">sự nghiệp công; phí, </w:t>
      </w:r>
      <w:r w:rsidR="007C7B3D" w:rsidRPr="00437F74">
        <w:rPr>
          <w:i/>
          <w:sz w:val="28"/>
          <w:szCs w:val="28"/>
          <w:lang w:val="vi-VN"/>
        </w:rPr>
        <w:t>lệ phí và cá</w:t>
      </w:r>
      <w:r w:rsidR="00D36D7A" w:rsidRPr="00437F74">
        <w:rPr>
          <w:i/>
          <w:sz w:val="28"/>
          <w:szCs w:val="28"/>
          <w:lang w:val="vi-VN"/>
        </w:rPr>
        <w:t>c khoản huy động đóng góp khác)</w:t>
      </w:r>
      <w:r w:rsidR="00184ED9">
        <w:rPr>
          <w:i/>
          <w:sz w:val="28"/>
          <w:szCs w:val="28"/>
        </w:rPr>
        <w:t xml:space="preserve"> </w:t>
      </w:r>
      <w:r w:rsidR="00D36D7A" w:rsidRPr="00437F74">
        <w:rPr>
          <w:sz w:val="28"/>
          <w:szCs w:val="28"/>
        </w:rPr>
        <w:t>c</w:t>
      </w:r>
      <w:r w:rsidR="007C7B3D" w:rsidRPr="00437F74">
        <w:rPr>
          <w:sz w:val="28"/>
          <w:szCs w:val="28"/>
          <w:lang w:val="vi-VN"/>
        </w:rPr>
        <w:t>ăn cứ số thu thực hiện năm 20</w:t>
      </w:r>
      <w:r w:rsidR="006761F9" w:rsidRPr="00437F74">
        <w:rPr>
          <w:sz w:val="28"/>
          <w:szCs w:val="28"/>
        </w:rPr>
        <w:t>2</w:t>
      </w:r>
      <w:r w:rsidR="003A55F1" w:rsidRPr="00437F74">
        <w:rPr>
          <w:sz w:val="28"/>
          <w:szCs w:val="28"/>
        </w:rPr>
        <w:t>2</w:t>
      </w:r>
      <w:r w:rsidR="007C7B3D" w:rsidRPr="00437F74">
        <w:rPr>
          <w:sz w:val="28"/>
          <w:szCs w:val="28"/>
          <w:lang w:val="vi-VN"/>
        </w:rPr>
        <w:t>, ước thực hiện thu năm 20</w:t>
      </w:r>
      <w:r w:rsidR="006A47EC" w:rsidRPr="00437F74">
        <w:rPr>
          <w:sz w:val="28"/>
          <w:szCs w:val="28"/>
        </w:rPr>
        <w:t>2</w:t>
      </w:r>
      <w:r w:rsidR="003A55F1" w:rsidRPr="00437F74">
        <w:rPr>
          <w:sz w:val="28"/>
          <w:szCs w:val="28"/>
        </w:rPr>
        <w:t>3</w:t>
      </w:r>
      <w:r w:rsidR="007C7B3D" w:rsidRPr="00437F74">
        <w:rPr>
          <w:sz w:val="28"/>
          <w:szCs w:val="28"/>
          <w:lang w:val="vi-VN"/>
        </w:rPr>
        <w:t>, dự kiến điều chỉnh các mức thu trong năm 20</w:t>
      </w:r>
      <w:r w:rsidR="007A47F3" w:rsidRPr="00437F74">
        <w:rPr>
          <w:sz w:val="28"/>
          <w:szCs w:val="28"/>
        </w:rPr>
        <w:t>2</w:t>
      </w:r>
      <w:r w:rsidR="003A55F1" w:rsidRPr="00437F74">
        <w:rPr>
          <w:sz w:val="28"/>
          <w:szCs w:val="28"/>
        </w:rPr>
        <w:t>4</w:t>
      </w:r>
      <w:r w:rsidR="007C7B3D" w:rsidRPr="00437F74">
        <w:rPr>
          <w:sz w:val="28"/>
          <w:szCs w:val="28"/>
          <w:lang w:val="vi-VN"/>
        </w:rPr>
        <w:t>, khả năng đóng góp của người sử dụng dịch vụ và những yếu tố dự kiến tác động đến thu năm 20</w:t>
      </w:r>
      <w:r w:rsidR="007A47F3" w:rsidRPr="00437F74">
        <w:rPr>
          <w:sz w:val="28"/>
          <w:szCs w:val="28"/>
        </w:rPr>
        <w:t>2</w:t>
      </w:r>
      <w:r w:rsidR="003A55F1" w:rsidRPr="00437F74">
        <w:rPr>
          <w:sz w:val="28"/>
          <w:szCs w:val="28"/>
        </w:rPr>
        <w:t>4</w:t>
      </w:r>
      <w:r w:rsidR="003032C4">
        <w:rPr>
          <w:sz w:val="28"/>
          <w:szCs w:val="28"/>
        </w:rPr>
        <w:t xml:space="preserve"> </w:t>
      </w:r>
      <w:r w:rsidR="007C7B3D" w:rsidRPr="00437F74">
        <w:rPr>
          <w:sz w:val="28"/>
          <w:szCs w:val="28"/>
          <w:lang w:val="vi-VN"/>
        </w:rPr>
        <w:t>để xây dựng dự toán thu phù hợp, tích cực</w:t>
      </w:r>
      <w:r w:rsidR="00D36D7A" w:rsidRPr="00437F74">
        <w:rPr>
          <w:sz w:val="28"/>
          <w:szCs w:val="28"/>
        </w:rPr>
        <w:t>.</w:t>
      </w:r>
    </w:p>
    <w:p w14:paraId="2B58F1BB" w14:textId="77777777" w:rsidR="00F10B57" w:rsidRPr="00437F74" w:rsidRDefault="007579B4" w:rsidP="003E3199">
      <w:pPr>
        <w:spacing w:before="60" w:after="60"/>
        <w:ind w:firstLine="567"/>
        <w:jc w:val="both"/>
        <w:rPr>
          <w:b/>
          <w:iCs/>
          <w:sz w:val="28"/>
          <w:szCs w:val="28"/>
        </w:rPr>
      </w:pPr>
      <w:r w:rsidRPr="00437F74">
        <w:rPr>
          <w:b/>
          <w:iCs/>
          <w:sz w:val="28"/>
          <w:szCs w:val="28"/>
        </w:rPr>
        <w:t>2.</w:t>
      </w:r>
      <w:r w:rsidR="003032C4">
        <w:rPr>
          <w:b/>
          <w:iCs/>
          <w:sz w:val="28"/>
          <w:szCs w:val="28"/>
        </w:rPr>
        <w:t xml:space="preserve"> </w:t>
      </w:r>
      <w:r w:rsidRPr="00437F74">
        <w:rPr>
          <w:b/>
          <w:iCs/>
          <w:sz w:val="28"/>
          <w:szCs w:val="28"/>
        </w:rPr>
        <w:t>P</w:t>
      </w:r>
      <w:r w:rsidR="00F10B57" w:rsidRPr="00437F74">
        <w:rPr>
          <w:b/>
          <w:iCs/>
          <w:sz w:val="28"/>
          <w:szCs w:val="28"/>
        </w:rPr>
        <w:t>hân bổ và gia</w:t>
      </w:r>
      <w:r w:rsidRPr="00437F74">
        <w:rPr>
          <w:b/>
          <w:iCs/>
          <w:sz w:val="28"/>
          <w:szCs w:val="28"/>
        </w:rPr>
        <w:t>o dự toán chi ngân sách</w:t>
      </w:r>
      <w:r w:rsidR="00F10B57" w:rsidRPr="00437F74">
        <w:rPr>
          <w:b/>
          <w:iCs/>
          <w:sz w:val="28"/>
          <w:szCs w:val="28"/>
        </w:rPr>
        <w:t>:</w:t>
      </w:r>
    </w:p>
    <w:p w14:paraId="0E3E5FBD" w14:textId="77777777" w:rsidR="00823794" w:rsidRPr="00437F74" w:rsidRDefault="00823794" w:rsidP="003E3199">
      <w:pPr>
        <w:spacing w:before="60" w:after="60"/>
        <w:ind w:firstLine="567"/>
        <w:jc w:val="both"/>
        <w:rPr>
          <w:b/>
          <w:sz w:val="28"/>
          <w:szCs w:val="28"/>
        </w:rPr>
      </w:pPr>
      <w:r w:rsidRPr="00437F74">
        <w:rPr>
          <w:b/>
          <w:sz w:val="28"/>
          <w:szCs w:val="28"/>
        </w:rPr>
        <w:t xml:space="preserve">2.1. </w:t>
      </w:r>
      <w:r w:rsidR="00E830CF" w:rsidRPr="00437F74">
        <w:rPr>
          <w:b/>
          <w:sz w:val="28"/>
          <w:szCs w:val="28"/>
        </w:rPr>
        <w:t>Q</w:t>
      </w:r>
      <w:r w:rsidR="00C25D3C" w:rsidRPr="00437F74">
        <w:rPr>
          <w:b/>
          <w:sz w:val="28"/>
          <w:szCs w:val="28"/>
        </w:rPr>
        <w:t>uy định chung</w:t>
      </w:r>
      <w:r w:rsidRPr="00437F74">
        <w:rPr>
          <w:b/>
          <w:sz w:val="28"/>
          <w:szCs w:val="28"/>
        </w:rPr>
        <w:t>:</w:t>
      </w:r>
    </w:p>
    <w:p w14:paraId="09EB901C" w14:textId="77777777" w:rsidR="00E077DA" w:rsidRPr="00437F74" w:rsidRDefault="00E077DA" w:rsidP="003E3199">
      <w:pPr>
        <w:spacing w:before="60" w:after="60"/>
        <w:ind w:firstLine="567"/>
        <w:jc w:val="both"/>
        <w:rPr>
          <w:sz w:val="28"/>
          <w:szCs w:val="28"/>
        </w:rPr>
      </w:pPr>
      <w:r w:rsidRPr="00437F74">
        <w:rPr>
          <w:sz w:val="28"/>
          <w:szCs w:val="28"/>
        </w:rPr>
        <w:t>-</w:t>
      </w:r>
      <w:r w:rsidR="003032C4">
        <w:rPr>
          <w:sz w:val="28"/>
          <w:szCs w:val="28"/>
        </w:rPr>
        <w:t xml:space="preserve"> </w:t>
      </w:r>
      <w:r w:rsidR="00F10B57" w:rsidRPr="00437F74">
        <w:rPr>
          <w:sz w:val="28"/>
          <w:szCs w:val="28"/>
        </w:rPr>
        <w:t xml:space="preserve">Dự toán chi ngân sách huyện </w:t>
      </w:r>
      <w:r w:rsidR="006323AC" w:rsidRPr="00437F74">
        <w:rPr>
          <w:sz w:val="28"/>
          <w:szCs w:val="28"/>
        </w:rPr>
        <w:t>năm 20</w:t>
      </w:r>
      <w:r w:rsidR="008603A7" w:rsidRPr="00437F74">
        <w:rPr>
          <w:sz w:val="28"/>
          <w:szCs w:val="28"/>
        </w:rPr>
        <w:t>2</w:t>
      </w:r>
      <w:r w:rsidR="003657B5" w:rsidRPr="00437F74">
        <w:rPr>
          <w:sz w:val="28"/>
          <w:szCs w:val="28"/>
        </w:rPr>
        <w:t>4</w:t>
      </w:r>
      <w:r w:rsidR="00F10B57" w:rsidRPr="00437F74">
        <w:rPr>
          <w:sz w:val="28"/>
          <w:szCs w:val="28"/>
        </w:rPr>
        <w:t xml:space="preserve">được xây dựng trên cơ sở định mức, tiêu chuẩn, chế độ, chính sách quy định và được phân bổ </w:t>
      </w:r>
      <w:r w:rsidR="00DA3366" w:rsidRPr="00437F74">
        <w:rPr>
          <w:sz w:val="28"/>
          <w:szCs w:val="28"/>
        </w:rPr>
        <w:t>chi tiết</w:t>
      </w:r>
      <w:r w:rsidR="00F10B57" w:rsidRPr="00437F74">
        <w:rPr>
          <w:sz w:val="28"/>
          <w:szCs w:val="28"/>
        </w:rPr>
        <w:t xml:space="preserve"> đối với từng lĩnh vực chi, đảm bảo cơ cấu hợp lý giữa chi đầu tư phát triển và chi thường xuyên</w:t>
      </w:r>
      <w:r w:rsidR="00F20EF5" w:rsidRPr="00437F74">
        <w:rPr>
          <w:sz w:val="28"/>
          <w:szCs w:val="28"/>
        </w:rPr>
        <w:t>; trên cơ sở nguồn thu theo kế hoạch giao.</w:t>
      </w:r>
    </w:p>
    <w:p w14:paraId="2D04295C" w14:textId="77777777" w:rsidR="00F10B57" w:rsidRPr="00437F74" w:rsidRDefault="00E077DA" w:rsidP="003E3199">
      <w:pPr>
        <w:spacing w:before="60" w:after="60"/>
        <w:ind w:firstLine="567"/>
        <w:jc w:val="both"/>
        <w:rPr>
          <w:sz w:val="28"/>
          <w:szCs w:val="28"/>
        </w:rPr>
      </w:pPr>
      <w:r w:rsidRPr="00437F74">
        <w:rPr>
          <w:sz w:val="28"/>
          <w:szCs w:val="28"/>
        </w:rPr>
        <w:t xml:space="preserve">- </w:t>
      </w:r>
      <w:r w:rsidR="00D35530" w:rsidRPr="00437F74">
        <w:rPr>
          <w:sz w:val="28"/>
          <w:szCs w:val="28"/>
        </w:rPr>
        <w:t>D</w:t>
      </w:r>
      <w:r w:rsidR="00687CBF" w:rsidRPr="00437F74">
        <w:rPr>
          <w:sz w:val="28"/>
          <w:szCs w:val="28"/>
        </w:rPr>
        <w:t xml:space="preserve">ự toán chi </w:t>
      </w:r>
      <w:r w:rsidR="008254BA" w:rsidRPr="00437F74">
        <w:rPr>
          <w:sz w:val="28"/>
          <w:szCs w:val="28"/>
        </w:rPr>
        <w:t>ngân sách nhà nước</w:t>
      </w:r>
      <w:r w:rsidR="00687CBF" w:rsidRPr="00437F74">
        <w:rPr>
          <w:sz w:val="28"/>
          <w:szCs w:val="28"/>
        </w:rPr>
        <w:t xml:space="preserve"> năm 20</w:t>
      </w:r>
      <w:r w:rsidR="008603A7" w:rsidRPr="00437F74">
        <w:rPr>
          <w:sz w:val="28"/>
          <w:szCs w:val="28"/>
        </w:rPr>
        <w:t>2</w:t>
      </w:r>
      <w:r w:rsidR="003657B5" w:rsidRPr="00437F74">
        <w:rPr>
          <w:sz w:val="28"/>
          <w:szCs w:val="28"/>
        </w:rPr>
        <w:t>4</w:t>
      </w:r>
      <w:r w:rsidR="00184ED9">
        <w:rPr>
          <w:sz w:val="28"/>
          <w:szCs w:val="28"/>
        </w:rPr>
        <w:t xml:space="preserve"> </w:t>
      </w:r>
      <w:r w:rsidR="00342335" w:rsidRPr="00437F74">
        <w:rPr>
          <w:sz w:val="28"/>
          <w:szCs w:val="28"/>
        </w:rPr>
        <w:t xml:space="preserve">phải </w:t>
      </w:r>
      <w:r w:rsidR="00687CBF" w:rsidRPr="00437F74">
        <w:rPr>
          <w:sz w:val="28"/>
          <w:szCs w:val="28"/>
        </w:rPr>
        <w:t>được xây dựng trên tinh thần tiết kiệm, chống lãng phí</w:t>
      </w:r>
      <w:r w:rsidR="008F2D60" w:rsidRPr="00437F74">
        <w:rPr>
          <w:sz w:val="28"/>
          <w:szCs w:val="28"/>
        </w:rPr>
        <w:t xml:space="preserve"> ngay từ khâu </w:t>
      </w:r>
      <w:r w:rsidR="00BE6F16" w:rsidRPr="00437F74">
        <w:rPr>
          <w:sz w:val="28"/>
          <w:szCs w:val="28"/>
        </w:rPr>
        <w:t xml:space="preserve">lập dự toán, </w:t>
      </w:r>
      <w:r w:rsidR="008F2D60" w:rsidRPr="00437F74">
        <w:rPr>
          <w:sz w:val="28"/>
          <w:szCs w:val="28"/>
        </w:rPr>
        <w:t xml:space="preserve">xác định </w:t>
      </w:r>
      <w:r w:rsidR="0085703F" w:rsidRPr="00437F74">
        <w:rPr>
          <w:sz w:val="28"/>
          <w:szCs w:val="28"/>
        </w:rPr>
        <w:t xml:space="preserve">rõ </w:t>
      </w:r>
      <w:r w:rsidR="008F2D60" w:rsidRPr="00437F74">
        <w:rPr>
          <w:sz w:val="28"/>
          <w:szCs w:val="28"/>
        </w:rPr>
        <w:t>nhiệm vụ quan trọng, trọng tâm cần thiết thực hiện trong năm; chủ động sắp xếp thứ tự các nhiệm vụ chi ưu tiên theo mức độ cấp thiết.</w:t>
      </w:r>
    </w:p>
    <w:p w14:paraId="13B38830" w14:textId="77777777" w:rsidR="00290241" w:rsidRPr="00437F74" w:rsidRDefault="00E077DA" w:rsidP="003E3199">
      <w:pPr>
        <w:spacing w:before="60" w:after="60"/>
        <w:ind w:firstLine="567"/>
        <w:jc w:val="both"/>
        <w:rPr>
          <w:spacing w:val="4"/>
          <w:sz w:val="28"/>
          <w:szCs w:val="28"/>
        </w:rPr>
      </w:pPr>
      <w:r w:rsidRPr="00437F74">
        <w:rPr>
          <w:spacing w:val="4"/>
          <w:sz w:val="28"/>
          <w:szCs w:val="28"/>
        </w:rPr>
        <w:t>-</w:t>
      </w:r>
      <w:r w:rsidR="003032C4">
        <w:rPr>
          <w:spacing w:val="4"/>
          <w:sz w:val="28"/>
          <w:szCs w:val="28"/>
        </w:rPr>
        <w:t xml:space="preserve"> </w:t>
      </w:r>
      <w:r w:rsidR="00A3468C" w:rsidRPr="00437F74">
        <w:rPr>
          <w:spacing w:val="4"/>
          <w:sz w:val="28"/>
          <w:szCs w:val="28"/>
        </w:rPr>
        <w:t>C</w:t>
      </w:r>
      <w:r w:rsidR="00290241" w:rsidRPr="00437F74">
        <w:rPr>
          <w:spacing w:val="4"/>
          <w:sz w:val="28"/>
          <w:szCs w:val="28"/>
          <w:lang w:val="vi-VN"/>
        </w:rPr>
        <w:t xml:space="preserve">ác các cơ quan, đơn vị sử dụng </w:t>
      </w:r>
      <w:r w:rsidR="008254BA" w:rsidRPr="00437F74">
        <w:rPr>
          <w:spacing w:val="4"/>
          <w:sz w:val="28"/>
          <w:szCs w:val="28"/>
          <w:lang w:val="vi-VN"/>
        </w:rPr>
        <w:t>ngân sách nhà nước</w:t>
      </w:r>
      <w:r w:rsidR="00290241" w:rsidRPr="00437F74">
        <w:rPr>
          <w:spacing w:val="4"/>
          <w:sz w:val="28"/>
          <w:szCs w:val="28"/>
          <w:lang w:val="vi-VN"/>
        </w:rPr>
        <w:t xml:space="preserve"> lập dự toán chi thường xuyên đúng tính chất nguồn kinh phí, triệt để tiết kiệm, cắt giảm các khoản chi mua sắm phương tiện, trang thiết bị; hạn chế tối đa về số lượng và quy mô tổ chức lễ hội, hội nghị, hội thảo, tổng kết, tiếp khách, đi công tác trong và ngoài nước và các nhiệm vụ không cần thiết, cấp bách khác; dự toán chi cho các nhiệm vụ này không tăng so với số thực hiện năm 20</w:t>
      </w:r>
      <w:r w:rsidR="006A47EC" w:rsidRPr="00437F74">
        <w:rPr>
          <w:spacing w:val="4"/>
          <w:sz w:val="28"/>
          <w:szCs w:val="28"/>
        </w:rPr>
        <w:t>2</w:t>
      </w:r>
      <w:r w:rsidR="003657B5" w:rsidRPr="00437F74">
        <w:rPr>
          <w:spacing w:val="4"/>
          <w:sz w:val="28"/>
          <w:szCs w:val="28"/>
        </w:rPr>
        <w:t>3</w:t>
      </w:r>
      <w:r w:rsidR="006D1363" w:rsidRPr="00437F74">
        <w:rPr>
          <w:spacing w:val="4"/>
          <w:sz w:val="28"/>
          <w:szCs w:val="28"/>
        </w:rPr>
        <w:t>.</w:t>
      </w:r>
    </w:p>
    <w:p w14:paraId="697C6424" w14:textId="77777777" w:rsidR="003B15A8" w:rsidRPr="00437F74" w:rsidRDefault="003B15A8" w:rsidP="003E3199">
      <w:pPr>
        <w:spacing w:before="60" w:after="60"/>
        <w:ind w:firstLine="567"/>
        <w:jc w:val="both"/>
        <w:rPr>
          <w:spacing w:val="4"/>
          <w:sz w:val="28"/>
          <w:szCs w:val="28"/>
        </w:rPr>
      </w:pPr>
      <w:r w:rsidRPr="00437F74">
        <w:rPr>
          <w:spacing w:val="4"/>
          <w:sz w:val="28"/>
          <w:szCs w:val="28"/>
          <w:lang w:val="vi-VN"/>
        </w:rPr>
        <w:lastRenderedPageBreak/>
        <w:t>- Dự toán chi thường xuyên phân bổ theo biên chế được cấp có thẩm quyền phê duyệt của các cơ quan, đơn vị dự toán ngân sách</w:t>
      </w:r>
      <w:r w:rsidR="00184ED9">
        <w:rPr>
          <w:spacing w:val="4"/>
          <w:sz w:val="28"/>
          <w:szCs w:val="28"/>
          <w:lang w:val="vi-VN"/>
        </w:rPr>
        <w:t xml:space="preserve">, </w:t>
      </w:r>
      <w:r w:rsidR="00184ED9">
        <w:rPr>
          <w:spacing w:val="4"/>
          <w:sz w:val="28"/>
          <w:szCs w:val="28"/>
        </w:rPr>
        <w:t>á</w:t>
      </w:r>
      <w:r w:rsidR="00D37190" w:rsidRPr="00437F74">
        <w:rPr>
          <w:spacing w:val="4"/>
          <w:sz w:val="28"/>
          <w:szCs w:val="28"/>
          <w:lang w:val="vi-VN"/>
        </w:rPr>
        <w:t>p dụng hệ số bổ sung theo tính chất hoạt động và theo chức năng nhiệm vụ của từng đơn vị</w:t>
      </w:r>
      <w:r w:rsidR="00D37190" w:rsidRPr="00437F74">
        <w:rPr>
          <w:spacing w:val="4"/>
          <w:sz w:val="28"/>
          <w:szCs w:val="28"/>
        </w:rPr>
        <w:t>.</w:t>
      </w:r>
    </w:p>
    <w:p w14:paraId="641A9696" w14:textId="77777777" w:rsidR="003657B5" w:rsidRPr="00437F74" w:rsidRDefault="003657B5" w:rsidP="003E3199">
      <w:pPr>
        <w:spacing w:after="60"/>
        <w:ind w:firstLine="567"/>
        <w:jc w:val="both"/>
        <w:rPr>
          <w:bCs/>
          <w:sz w:val="28"/>
          <w:szCs w:val="28"/>
        </w:rPr>
      </w:pPr>
      <w:r w:rsidRPr="00437F74">
        <w:rPr>
          <w:bCs/>
          <w:sz w:val="28"/>
          <w:szCs w:val="28"/>
        </w:rPr>
        <w:t>- Dự toán chi hoạt động của các cơ quan quản lý nhà nước, đảng, đoàn thể:</w:t>
      </w:r>
    </w:p>
    <w:p w14:paraId="6B0FECB4" w14:textId="77777777" w:rsidR="003657B5" w:rsidRPr="00437F74" w:rsidRDefault="003657B5" w:rsidP="003E3199">
      <w:pPr>
        <w:spacing w:after="60"/>
        <w:ind w:firstLine="567"/>
        <w:jc w:val="both"/>
        <w:rPr>
          <w:bCs/>
          <w:sz w:val="28"/>
          <w:szCs w:val="28"/>
        </w:rPr>
      </w:pPr>
      <w:r w:rsidRPr="00437F74">
        <w:rPr>
          <w:bCs/>
          <w:sz w:val="28"/>
          <w:szCs w:val="28"/>
        </w:rPr>
        <w:t xml:space="preserve">+ Số biên chế được giao năm 2024 </w:t>
      </w:r>
      <w:r w:rsidRPr="00437F74">
        <w:rPr>
          <w:bCs/>
          <w:i/>
          <w:sz w:val="28"/>
          <w:szCs w:val="28"/>
        </w:rPr>
        <w:t>(trường hợp chưa được giao biên chế năm 2024 thì xác định bằng số biên chế được cơ quan có thẩm quyền giao đến thời điểm ngày 01 tháng 10 năm 2023)</w:t>
      </w:r>
      <w:r w:rsidRPr="00437F74">
        <w:rPr>
          <w:bCs/>
          <w:sz w:val="28"/>
          <w:szCs w:val="28"/>
        </w:rPr>
        <w:t>, trong đó làm rõ số biên chế thực có mặt, số biên chế chưa tuyển theo chỉ tiêu biên chế giao.</w:t>
      </w:r>
    </w:p>
    <w:p w14:paraId="5CF8AB07" w14:textId="77777777" w:rsidR="003657B5" w:rsidRPr="00437F74" w:rsidRDefault="00184ED9" w:rsidP="003E3199">
      <w:pPr>
        <w:spacing w:after="60"/>
        <w:ind w:firstLine="567"/>
        <w:jc w:val="both"/>
        <w:rPr>
          <w:bCs/>
          <w:sz w:val="28"/>
          <w:szCs w:val="28"/>
        </w:rPr>
      </w:pPr>
      <w:r>
        <w:rPr>
          <w:bCs/>
          <w:sz w:val="28"/>
          <w:szCs w:val="28"/>
        </w:rPr>
        <w:t>+ Xác định q</w:t>
      </w:r>
      <w:r w:rsidR="003657B5" w:rsidRPr="00437F74">
        <w:rPr>
          <w:bCs/>
          <w:sz w:val="28"/>
          <w:szCs w:val="28"/>
        </w:rPr>
        <w:t xml:space="preserve">uỹ lương ngạch bậc, các khoản phụ cấp theo lương và các khoản đóng góp theo chế độ quy định theo mức lương cơ sở 1.800.000 đồng/tháng </w:t>
      </w:r>
      <w:r w:rsidR="003657B5" w:rsidRPr="00437F74">
        <w:rPr>
          <w:bCs/>
          <w:i/>
          <w:sz w:val="28"/>
          <w:szCs w:val="28"/>
        </w:rPr>
        <w:t>(tính đủ 12 tháng)</w:t>
      </w:r>
      <w:r w:rsidR="003657B5" w:rsidRPr="00437F74">
        <w:rPr>
          <w:bCs/>
          <w:sz w:val="28"/>
          <w:szCs w:val="28"/>
        </w:rPr>
        <w:t xml:space="preserve"> do NSNN đảm bảo: Quỹ tiền lương theo chỉ tiêu biên chế được cấp có thẩm quyền giao, bao gồm quỹ lương của số biên chế thực có mặt tính đến thời điểm ngày 01 tháng 10 năm 2023, được xác định trên cơ sở mức lương theo ngạch, bậc, chức vụ; các khoản phụ cấp theo lương và các khoản đóng góp theo chế độ và quỹ lương của số biên chế chưa tuyển </w:t>
      </w:r>
      <w:r w:rsidR="003657B5" w:rsidRPr="00437F74">
        <w:rPr>
          <w:bCs/>
          <w:i/>
          <w:sz w:val="28"/>
          <w:szCs w:val="28"/>
        </w:rPr>
        <w:t>(nhưng vẫn trong tổng mức biên chế được giao)</w:t>
      </w:r>
      <w:r w:rsidR="003657B5" w:rsidRPr="00437F74">
        <w:rPr>
          <w:bCs/>
          <w:sz w:val="28"/>
          <w:szCs w:val="28"/>
        </w:rPr>
        <w:t xml:space="preserve">, tính trên cơ sở lương 1.800.000 đồng/tháng và hệ số lương lương bậc 1 của công chức loại A1, các khoản phụ cấp theo lương cùng các khoản đóng góp theo quy định; Giảm quỹ tiền lương đối với các trường hợp phải tiếp tục tinh giản biên chế </w:t>
      </w:r>
      <w:r w:rsidR="003657B5" w:rsidRPr="00437F74">
        <w:rPr>
          <w:bCs/>
          <w:i/>
          <w:sz w:val="28"/>
          <w:szCs w:val="28"/>
        </w:rPr>
        <w:t>(nếu có)</w:t>
      </w:r>
      <w:r w:rsidR="003657B5" w:rsidRPr="00437F74">
        <w:rPr>
          <w:bCs/>
          <w:sz w:val="28"/>
          <w:szCs w:val="28"/>
        </w:rPr>
        <w:t>.</w:t>
      </w:r>
    </w:p>
    <w:p w14:paraId="4AC60C46" w14:textId="77777777" w:rsidR="005A0BCC" w:rsidRPr="00437F74" w:rsidRDefault="005A0BCC" w:rsidP="003E3199">
      <w:pPr>
        <w:spacing w:before="60" w:after="60"/>
        <w:ind w:firstLine="567"/>
        <w:jc w:val="both"/>
        <w:rPr>
          <w:sz w:val="28"/>
          <w:szCs w:val="28"/>
        </w:rPr>
      </w:pPr>
      <w:r w:rsidRPr="00437F74">
        <w:rPr>
          <w:sz w:val="28"/>
          <w:szCs w:val="28"/>
        </w:rPr>
        <w:t xml:space="preserve">- Trong năm, tùy thuộc vào điều kiện của ngân sách địa phương </w:t>
      </w:r>
      <w:r w:rsidRPr="00437F74">
        <w:rPr>
          <w:sz w:val="28"/>
          <w:szCs w:val="28"/>
          <w:lang w:val="nl-NL"/>
        </w:rPr>
        <w:t>Ủy ban nhân dân</w:t>
      </w:r>
      <w:r w:rsidRPr="00437F74">
        <w:rPr>
          <w:sz w:val="28"/>
          <w:szCs w:val="28"/>
        </w:rPr>
        <w:t xml:space="preserve"> huyện bổ sung kinh phí hoạt động ngoài dự toán cho những nhiệm vụ cấp bách, đột xuất phát sinh như phục vụ công tác an ninh</w:t>
      </w:r>
      <w:r w:rsidR="00184ED9">
        <w:rPr>
          <w:sz w:val="28"/>
          <w:szCs w:val="28"/>
        </w:rPr>
        <w:t>,</w:t>
      </w:r>
      <w:r w:rsidRPr="00437F74">
        <w:rPr>
          <w:sz w:val="28"/>
          <w:szCs w:val="28"/>
        </w:rPr>
        <w:t xml:space="preserve"> quốc phòng, thiên tai, dịch bệnh…; không bổ sung kinh phí chi thường xuyên cho các đơn vị dự toán.</w:t>
      </w:r>
    </w:p>
    <w:p w14:paraId="2AD1C661" w14:textId="77777777" w:rsidR="005A0BCC" w:rsidRPr="00437F74" w:rsidRDefault="005A0BCC" w:rsidP="003E3199">
      <w:pPr>
        <w:spacing w:before="60" w:after="60"/>
        <w:ind w:firstLine="567"/>
        <w:jc w:val="both"/>
        <w:rPr>
          <w:sz w:val="28"/>
          <w:szCs w:val="28"/>
        </w:rPr>
      </w:pPr>
      <w:r w:rsidRPr="00437F74">
        <w:rPr>
          <w:sz w:val="28"/>
          <w:szCs w:val="28"/>
        </w:rPr>
        <w:t>- Đối với đơn vị có thu, phân bổ theo phương thức lấy thu bù chi, cân đối bổ sung một phần ngân sách cho những hoạt động sự nghiệp lớn như dịch vụ tiêu thu nước</w:t>
      </w:r>
      <w:r w:rsidR="008C2B90">
        <w:rPr>
          <w:sz w:val="28"/>
          <w:szCs w:val="28"/>
        </w:rPr>
        <w:t xml:space="preserve"> sinh hoạt, dịch vụ cu</w:t>
      </w:r>
      <w:r w:rsidRPr="00437F74">
        <w:rPr>
          <w:sz w:val="28"/>
          <w:szCs w:val="28"/>
        </w:rPr>
        <w:t>ng cấp mặt bằng tại chợ, dịch vụ giết mổ tập trung...</w:t>
      </w:r>
    </w:p>
    <w:p w14:paraId="4CB42EC2" w14:textId="77777777" w:rsidR="003657B5" w:rsidRPr="00437F74" w:rsidRDefault="003657B5" w:rsidP="003E3199">
      <w:pPr>
        <w:spacing w:after="60"/>
        <w:ind w:firstLine="720"/>
        <w:jc w:val="both"/>
        <w:rPr>
          <w:bCs/>
          <w:sz w:val="28"/>
          <w:szCs w:val="28"/>
        </w:rPr>
      </w:pPr>
      <w:r w:rsidRPr="00437F74">
        <w:rPr>
          <w:bCs/>
          <w:sz w:val="28"/>
          <w:szCs w:val="28"/>
        </w:rPr>
        <w:t xml:space="preserve">- Thực hiện giảm chi 2,5% trên tổng số dự toán chi thường xuyên năm 2023 của từng đơn vị sự nghiệp công lập </w:t>
      </w:r>
      <w:r w:rsidRPr="00437F74">
        <w:rPr>
          <w:bCs/>
          <w:i/>
          <w:sz w:val="28"/>
          <w:szCs w:val="28"/>
        </w:rPr>
        <w:t>(trừ đơn vị sự nghiệp công cung cấp dịch vụ sự nghiệp công lập cơ bản, thiết yếu, không có nguồn thu sự nghiệp)</w:t>
      </w:r>
      <w:r w:rsidRPr="00437F74">
        <w:rPr>
          <w:bCs/>
          <w:sz w:val="28"/>
          <w:szCs w:val="28"/>
        </w:rPr>
        <w:t xml:space="preserve"> theo quy định tại khoản 4 Điều 35 Nghị định số 60/2021/NĐ-CP, ngày 21 tháng 6 năm 2021 của Chính phủ.</w:t>
      </w:r>
    </w:p>
    <w:p w14:paraId="3772B92B" w14:textId="01E916C1" w:rsidR="00823794" w:rsidRPr="00437F74" w:rsidRDefault="00823794" w:rsidP="003E3199">
      <w:pPr>
        <w:spacing w:before="60" w:after="60"/>
        <w:ind w:firstLine="567"/>
        <w:jc w:val="both"/>
        <w:rPr>
          <w:b/>
          <w:spacing w:val="4"/>
          <w:sz w:val="28"/>
          <w:szCs w:val="28"/>
        </w:rPr>
      </w:pPr>
      <w:r w:rsidRPr="00437F74">
        <w:rPr>
          <w:b/>
          <w:spacing w:val="4"/>
          <w:sz w:val="28"/>
          <w:szCs w:val="28"/>
        </w:rPr>
        <w:t>2.2</w:t>
      </w:r>
      <w:r w:rsidR="00D90977">
        <w:rPr>
          <w:b/>
          <w:spacing w:val="4"/>
          <w:sz w:val="28"/>
          <w:szCs w:val="28"/>
        </w:rPr>
        <w:t>.</w:t>
      </w:r>
      <w:r w:rsidRPr="00437F74">
        <w:rPr>
          <w:b/>
          <w:spacing w:val="4"/>
          <w:sz w:val="28"/>
          <w:szCs w:val="28"/>
        </w:rPr>
        <w:t xml:space="preserve"> Định mức phân bổ.</w:t>
      </w:r>
    </w:p>
    <w:p w14:paraId="473687A7" w14:textId="77777777" w:rsidR="003B15A8" w:rsidRPr="00437F74" w:rsidRDefault="003B15A8" w:rsidP="003E3199">
      <w:pPr>
        <w:spacing w:after="60"/>
        <w:ind w:firstLine="567"/>
        <w:jc w:val="both"/>
        <w:rPr>
          <w:sz w:val="28"/>
          <w:szCs w:val="28"/>
          <w:lang w:val="nl-NL"/>
        </w:rPr>
      </w:pPr>
      <w:r w:rsidRPr="00437F74">
        <w:rPr>
          <w:b/>
          <w:sz w:val="28"/>
          <w:szCs w:val="28"/>
          <w:lang w:val="nl-NL"/>
        </w:rPr>
        <w:t xml:space="preserve">a. </w:t>
      </w:r>
      <w:bookmarkStart w:id="2" w:name="_Hlk89501787"/>
      <w:r w:rsidRPr="00437F74">
        <w:rPr>
          <w:b/>
          <w:sz w:val="28"/>
          <w:szCs w:val="28"/>
          <w:lang w:val="nl-NL"/>
        </w:rPr>
        <w:t xml:space="preserve">Đối với các cơ quan quản lý hành chính thuộc huyện. </w:t>
      </w:r>
    </w:p>
    <w:p w14:paraId="11FEF420" w14:textId="77777777" w:rsidR="003B15A8" w:rsidRPr="00437F74" w:rsidRDefault="003B15A8" w:rsidP="003E3199">
      <w:pPr>
        <w:spacing w:after="60"/>
        <w:ind w:firstLine="567"/>
        <w:jc w:val="both"/>
        <w:rPr>
          <w:sz w:val="28"/>
          <w:szCs w:val="28"/>
          <w:lang w:val="nl-NL"/>
        </w:rPr>
      </w:pPr>
      <w:r w:rsidRPr="00437F74">
        <w:rPr>
          <w:sz w:val="28"/>
          <w:szCs w:val="28"/>
          <w:lang w:val="nl-NL"/>
        </w:rPr>
        <w:t>- Đơn vị dưới 5 biên chế: Phân bổ 32 triệu đồng/1biên chế/năm.</w:t>
      </w:r>
    </w:p>
    <w:p w14:paraId="7CE83D06" w14:textId="77777777" w:rsidR="003B15A8" w:rsidRPr="00437F74" w:rsidRDefault="003B15A8" w:rsidP="003E3199">
      <w:pPr>
        <w:spacing w:after="60"/>
        <w:ind w:firstLine="567"/>
        <w:jc w:val="both"/>
        <w:rPr>
          <w:sz w:val="28"/>
          <w:szCs w:val="28"/>
          <w:lang w:val="nl-NL"/>
        </w:rPr>
      </w:pPr>
      <w:r w:rsidRPr="00437F74">
        <w:rPr>
          <w:sz w:val="28"/>
          <w:szCs w:val="28"/>
          <w:lang w:val="nl-NL"/>
        </w:rPr>
        <w:t>- Đơn vị từ 5 biên chế trở lên: Phân bổ 30 triệu đồng/1biên chế/năm.</w:t>
      </w:r>
    </w:p>
    <w:p w14:paraId="747A015E" w14:textId="77777777" w:rsidR="003B15A8" w:rsidRPr="00437F74" w:rsidRDefault="003B15A8" w:rsidP="003E3199">
      <w:pPr>
        <w:spacing w:after="60"/>
        <w:ind w:firstLine="567"/>
        <w:jc w:val="both"/>
        <w:rPr>
          <w:sz w:val="28"/>
          <w:szCs w:val="28"/>
          <w:lang w:val="nl-NL"/>
        </w:rPr>
      </w:pPr>
      <w:r w:rsidRPr="00437F74">
        <w:rPr>
          <w:sz w:val="28"/>
          <w:szCs w:val="28"/>
          <w:lang w:val="nl-NL"/>
        </w:rPr>
        <w:t xml:space="preserve">- Hệ số bổ sung: </w:t>
      </w:r>
    </w:p>
    <w:p w14:paraId="07936C76" w14:textId="77777777" w:rsidR="003B15A8" w:rsidRPr="00437F74" w:rsidRDefault="003B15A8" w:rsidP="003E3199">
      <w:pPr>
        <w:spacing w:after="60"/>
        <w:ind w:firstLine="567"/>
        <w:jc w:val="both"/>
        <w:rPr>
          <w:sz w:val="28"/>
          <w:szCs w:val="28"/>
          <w:lang w:val="nl-NL"/>
        </w:rPr>
      </w:pPr>
      <w:r w:rsidRPr="00437F74">
        <w:rPr>
          <w:sz w:val="28"/>
          <w:szCs w:val="28"/>
          <w:lang w:val="nl-NL"/>
        </w:rPr>
        <w:t xml:space="preserve">+ Các đơn vị: Văn phòng Huyện ủy; Văn phòng HĐND-UBND: </w:t>
      </w:r>
      <w:r w:rsidR="009B7AB6" w:rsidRPr="00437F74">
        <w:rPr>
          <w:sz w:val="28"/>
          <w:szCs w:val="28"/>
          <w:lang w:val="nl-NL"/>
        </w:rPr>
        <w:t>2</w:t>
      </w:r>
      <w:r w:rsidR="00913A9F">
        <w:rPr>
          <w:sz w:val="28"/>
          <w:szCs w:val="28"/>
          <w:lang w:val="nl-NL"/>
        </w:rPr>
        <w:t>,0</w:t>
      </w:r>
      <w:r w:rsidRPr="00437F74">
        <w:rPr>
          <w:sz w:val="28"/>
          <w:szCs w:val="28"/>
          <w:lang w:val="nl-NL"/>
        </w:rPr>
        <w:t>.</w:t>
      </w:r>
    </w:p>
    <w:p w14:paraId="3DB4A157" w14:textId="77777777" w:rsidR="003B15A8" w:rsidRPr="00437F74" w:rsidRDefault="003B15A8" w:rsidP="003E3199">
      <w:pPr>
        <w:spacing w:after="60"/>
        <w:ind w:firstLine="567"/>
        <w:jc w:val="both"/>
        <w:rPr>
          <w:sz w:val="28"/>
          <w:szCs w:val="28"/>
          <w:lang w:val="nl-NL"/>
        </w:rPr>
      </w:pPr>
      <w:r w:rsidRPr="00437F74">
        <w:rPr>
          <w:sz w:val="28"/>
          <w:szCs w:val="28"/>
          <w:lang w:val="nl-NL"/>
        </w:rPr>
        <w:t>+ Các đơn vị: Phòng Tài nguyên - Môi trường, phòng Kinh tế - Hạ tầng, Phòng Tài chính - Kế hoạch: 1,5.</w:t>
      </w:r>
    </w:p>
    <w:p w14:paraId="559E6277" w14:textId="77777777" w:rsidR="003B15A8" w:rsidRPr="00437F74" w:rsidRDefault="003B15A8" w:rsidP="003E3199">
      <w:pPr>
        <w:spacing w:after="60"/>
        <w:ind w:firstLine="567"/>
        <w:jc w:val="both"/>
        <w:rPr>
          <w:sz w:val="28"/>
          <w:szCs w:val="28"/>
          <w:lang w:val="nl-NL"/>
        </w:rPr>
      </w:pPr>
      <w:r w:rsidRPr="00437F74">
        <w:rPr>
          <w:sz w:val="28"/>
          <w:szCs w:val="28"/>
          <w:lang w:val="nl-NL"/>
        </w:rPr>
        <w:lastRenderedPageBreak/>
        <w:t>+ Các đơn vị: Phòng Lao động TB&amp;XH; Thanh tra huyện; Phòng Dân tộc; Phòng Nông nghiệp và PTNT</w:t>
      </w:r>
      <w:r w:rsidR="009B7AB6" w:rsidRPr="00437F74">
        <w:rPr>
          <w:sz w:val="28"/>
          <w:szCs w:val="28"/>
          <w:lang w:val="nl-NL"/>
        </w:rPr>
        <w:t>; Trung tâm Chính trị</w:t>
      </w:r>
      <w:r w:rsidRPr="00437F74">
        <w:rPr>
          <w:sz w:val="28"/>
          <w:szCs w:val="28"/>
          <w:lang w:val="nl-NL"/>
        </w:rPr>
        <w:t>: 1,3.</w:t>
      </w:r>
    </w:p>
    <w:bookmarkEnd w:id="2"/>
    <w:p w14:paraId="38346398" w14:textId="77777777" w:rsidR="003B15A8" w:rsidRPr="00437F74" w:rsidRDefault="003B15A8" w:rsidP="003E3199">
      <w:pPr>
        <w:spacing w:after="60"/>
        <w:ind w:firstLine="567"/>
        <w:jc w:val="both"/>
        <w:rPr>
          <w:b/>
          <w:bCs/>
          <w:sz w:val="28"/>
          <w:szCs w:val="28"/>
          <w:lang w:val="nl-NL"/>
        </w:rPr>
      </w:pPr>
      <w:r w:rsidRPr="00437F74">
        <w:rPr>
          <w:b/>
          <w:bCs/>
          <w:sz w:val="28"/>
          <w:szCs w:val="28"/>
          <w:lang w:val="nl-NL"/>
        </w:rPr>
        <w:t>b. Đối với các đơn vị sự nghiệp:</w:t>
      </w:r>
    </w:p>
    <w:p w14:paraId="4CDD9B6E" w14:textId="77777777" w:rsidR="003B15A8" w:rsidRPr="00437F74" w:rsidRDefault="003B15A8" w:rsidP="003E3199">
      <w:pPr>
        <w:spacing w:after="60"/>
        <w:ind w:firstLine="567"/>
        <w:jc w:val="both"/>
        <w:rPr>
          <w:sz w:val="28"/>
          <w:szCs w:val="28"/>
          <w:lang w:val="nl-NL"/>
        </w:rPr>
      </w:pPr>
      <w:r w:rsidRPr="00437F74">
        <w:rPr>
          <w:sz w:val="28"/>
          <w:szCs w:val="28"/>
          <w:lang w:val="nl-NL"/>
        </w:rPr>
        <w:t>- Đối với đơn vị dưới 5 biên chế: Phân bổ 32 triệu đồng/1biên chế/năm.</w:t>
      </w:r>
    </w:p>
    <w:p w14:paraId="6CA0A34D" w14:textId="77777777" w:rsidR="003B15A8" w:rsidRPr="00437F74" w:rsidRDefault="003B15A8" w:rsidP="003E3199">
      <w:pPr>
        <w:spacing w:after="60"/>
        <w:ind w:firstLine="567"/>
        <w:jc w:val="both"/>
        <w:rPr>
          <w:sz w:val="28"/>
          <w:szCs w:val="28"/>
          <w:lang w:val="nl-NL"/>
        </w:rPr>
      </w:pPr>
      <w:r w:rsidRPr="00437F74">
        <w:rPr>
          <w:sz w:val="28"/>
          <w:szCs w:val="28"/>
          <w:lang w:val="nl-NL"/>
        </w:rPr>
        <w:t>- Đối với đơn vị từ 5 biên chế trở lên: Phân bổ 30 triệu đồng/1biên chế/năm.</w:t>
      </w:r>
    </w:p>
    <w:p w14:paraId="69A5A0BB" w14:textId="77777777" w:rsidR="00913A9F" w:rsidRDefault="003B15A8" w:rsidP="00913A9F">
      <w:pPr>
        <w:spacing w:after="60"/>
        <w:ind w:firstLine="567"/>
        <w:jc w:val="both"/>
        <w:rPr>
          <w:sz w:val="28"/>
          <w:szCs w:val="28"/>
          <w:lang w:val="nl-NL"/>
        </w:rPr>
      </w:pPr>
      <w:r w:rsidRPr="00437F74">
        <w:rPr>
          <w:sz w:val="28"/>
          <w:szCs w:val="28"/>
          <w:lang w:val="nl-NL"/>
        </w:rPr>
        <w:t>- Trung tâm Giáo dục nghề nghiệp - GDTX: 11 triệu đồng/1biên chế/năm.</w:t>
      </w:r>
    </w:p>
    <w:p w14:paraId="1214052C" w14:textId="77777777" w:rsidR="009B7AB6" w:rsidRPr="00913A9F" w:rsidRDefault="003B15A8" w:rsidP="00913A9F">
      <w:pPr>
        <w:spacing w:after="60"/>
        <w:ind w:firstLine="567"/>
        <w:jc w:val="both"/>
        <w:rPr>
          <w:sz w:val="28"/>
          <w:szCs w:val="28"/>
          <w:lang w:val="nl-NL"/>
        </w:rPr>
      </w:pPr>
      <w:r w:rsidRPr="00437F74">
        <w:rPr>
          <w:b/>
          <w:bCs/>
          <w:sz w:val="28"/>
          <w:szCs w:val="28"/>
          <w:lang w:val="nl-NL"/>
        </w:rPr>
        <w:t>c. Đối với UBND các xã, thị trấn:</w:t>
      </w:r>
      <w:bookmarkStart w:id="3" w:name="_Hlk89501978"/>
      <w:r w:rsidR="003032C4">
        <w:rPr>
          <w:b/>
          <w:bCs/>
          <w:sz w:val="28"/>
          <w:szCs w:val="28"/>
          <w:lang w:val="nl-NL"/>
        </w:rPr>
        <w:t xml:space="preserve"> </w:t>
      </w:r>
      <w:r w:rsidR="009B7AB6" w:rsidRPr="00437F74">
        <w:rPr>
          <w:iCs/>
          <w:sz w:val="28"/>
          <w:szCs w:val="28"/>
          <w:lang w:val="nl-NL"/>
        </w:rPr>
        <w:t>Ngân sách huyện bố trí bổ sung cân đối và phần điều tiết, đảm bảo nhiệm vụ chi theo chế độ hiện hành và các hoạt động tại xã, thị trấn cụ thể như sau:</w:t>
      </w:r>
    </w:p>
    <w:p w14:paraId="2517174B" w14:textId="77777777" w:rsidR="009B7AB6" w:rsidRPr="00437F74" w:rsidRDefault="009B7AB6" w:rsidP="003E3199">
      <w:pPr>
        <w:spacing w:after="60"/>
        <w:ind w:firstLine="720"/>
        <w:jc w:val="both"/>
        <w:rPr>
          <w:iCs/>
          <w:sz w:val="28"/>
          <w:szCs w:val="28"/>
          <w:lang w:val="nl-NL"/>
        </w:rPr>
      </w:pPr>
      <w:r w:rsidRPr="00437F74">
        <w:rPr>
          <w:iCs/>
          <w:sz w:val="28"/>
          <w:szCs w:val="28"/>
          <w:lang w:val="nl-NL"/>
        </w:rPr>
        <w:t xml:space="preserve"> - Quỹ lương và phụ cấp của cán bộ xã, thị trấn thực hiện theo mức lương tối thiểu 1.800.000 đồng; phụ cấp cán bộ vùng khó khăn theo Nghị định 76/2019/NĐCP, phụ cấp công vụ theo Nghị định 34/NĐ-CP, Quy định chức danh, số lượng, chế độ chính sách đối với những người hoạt động không chuyên trách cấp xã, ở thôn, tổ dân phố, người trực tiếp tham gia công việc ở thôn, tổ dân phố theo Nghị quyết 36/2020/NQ-HĐND ngày 16/7/2020; Nghị quyết 55/2021/NQ-HĐND ngày 22/10/2021 của Hội đồng nhân dân tỉnh Kon Tum, Nghị quyết 16/2018/NQ-HĐND, ngày 19/7/2018 của tỉnh Kon Tum…</w:t>
      </w:r>
    </w:p>
    <w:bookmarkEnd w:id="3"/>
    <w:p w14:paraId="01E55577" w14:textId="77777777" w:rsidR="009B7AB6" w:rsidRPr="00437F74" w:rsidRDefault="009B7AB6" w:rsidP="003E3199">
      <w:pPr>
        <w:spacing w:after="60"/>
        <w:ind w:firstLine="720"/>
        <w:jc w:val="both"/>
        <w:rPr>
          <w:iCs/>
          <w:sz w:val="28"/>
          <w:szCs w:val="28"/>
          <w:lang w:val="nl-NL"/>
        </w:rPr>
      </w:pPr>
      <w:r w:rsidRPr="00437F74">
        <w:rPr>
          <w:iCs/>
          <w:sz w:val="28"/>
          <w:szCs w:val="28"/>
          <w:lang w:val="nl-NL"/>
        </w:rPr>
        <w:t xml:space="preserve">- Chi thường xuyên phân bổ 31 triệu đồng/1biên chế/năm </w:t>
      </w:r>
      <w:r w:rsidRPr="00437F74">
        <w:rPr>
          <w:i/>
          <w:iCs/>
          <w:sz w:val="28"/>
          <w:szCs w:val="28"/>
          <w:lang w:val="nl-NL"/>
        </w:rPr>
        <w:t>(bao gồm kinh phí hỗ trợ một số chế độ chi tiêu hoạt động của HĐND, MTTQVN và các tổ chức chính trị - xã hội xã)</w:t>
      </w:r>
      <w:r w:rsidRPr="00437F74">
        <w:rPr>
          <w:iCs/>
          <w:sz w:val="28"/>
          <w:szCs w:val="28"/>
          <w:lang w:val="nl-NL"/>
        </w:rPr>
        <w:t xml:space="preserve">. Chi thường xuyên tính trên biên chế được giao theo quy định tại Nghị định số 33/2023/NĐ-CP ngày 10/6/2023 của Chính phủ; Quyết định số 217/QĐ-UBND ngày 27/4/2021 của UBND tỉnh Kon Tum về việc phân loại đơn vị hành chính xã, phường, thị trấn trên địa bàn tỉnh Kon Tum. </w:t>
      </w:r>
    </w:p>
    <w:p w14:paraId="560C7911" w14:textId="77777777" w:rsidR="00D37190" w:rsidRPr="00437F74" w:rsidRDefault="00D37190" w:rsidP="003E3199">
      <w:pPr>
        <w:spacing w:after="60"/>
        <w:ind w:firstLine="567"/>
        <w:jc w:val="both"/>
        <w:rPr>
          <w:sz w:val="28"/>
          <w:szCs w:val="28"/>
        </w:rPr>
      </w:pPr>
      <w:r w:rsidRPr="00437F74">
        <w:rPr>
          <w:b/>
          <w:sz w:val="28"/>
          <w:szCs w:val="28"/>
        </w:rPr>
        <w:t>d.</w:t>
      </w:r>
      <w:r w:rsidRPr="00437F74">
        <w:rPr>
          <w:sz w:val="28"/>
          <w:szCs w:val="28"/>
        </w:rPr>
        <w:t xml:space="preserve"> Định mức phân bổ trên đã bao gồm: </w:t>
      </w:r>
    </w:p>
    <w:p w14:paraId="378D5BEB" w14:textId="77777777" w:rsidR="00D37190" w:rsidRPr="00437F74" w:rsidRDefault="00D37190" w:rsidP="003E3199">
      <w:pPr>
        <w:spacing w:before="60" w:after="60"/>
        <w:ind w:firstLine="567"/>
        <w:jc w:val="both"/>
        <w:rPr>
          <w:sz w:val="28"/>
          <w:szCs w:val="28"/>
        </w:rPr>
      </w:pPr>
      <w:r w:rsidRPr="00437F74">
        <w:rPr>
          <w:sz w:val="28"/>
          <w:szCs w:val="28"/>
        </w:rPr>
        <w:t xml:space="preserve">- Các khoản chi thường xuyên phục vụ hoạt động bộ máy các cơ quan, đơn vị: Khen thưởng theo chế độ, phúc lợi tập thể, đào tạo bồi dưỡng; thông tin, tuyên truyền, liên lạc; công tác phí, hội nghị, tổng kết; đoàn ra, đoàn vào theo nhiệm vụ, kế hoạch của cơ </w:t>
      </w:r>
      <w:r w:rsidRPr="00437F74">
        <w:rPr>
          <w:i/>
          <w:sz w:val="28"/>
          <w:szCs w:val="28"/>
        </w:rPr>
        <w:t>quan (trừ đoàn ra, đoàn vào theo chủ trương, kế hoạch riêng được cấp thẩm quyền phê duyệt)</w:t>
      </w:r>
      <w:r w:rsidRPr="00437F74">
        <w:rPr>
          <w:sz w:val="28"/>
          <w:szCs w:val="28"/>
        </w:rPr>
        <w:t xml:space="preserve">; vật tư văn phòng, thanh toán dịch vụ công cộng; chi hỗ trợ hoạt động cho công tác Đảng, Đoàn thể trong cơ quan; các khoản chi hành chính khác phục vụ cho nhiệm vụ chính trị, hoạt động chuyên môn bộ máy các cơ quan, đơn vị. </w:t>
      </w:r>
    </w:p>
    <w:p w14:paraId="450C0F93" w14:textId="77777777" w:rsidR="00D37190" w:rsidRPr="00437F74" w:rsidRDefault="00D37190" w:rsidP="003E3199">
      <w:pPr>
        <w:spacing w:before="60" w:after="60"/>
        <w:ind w:firstLine="567"/>
        <w:jc w:val="both"/>
        <w:rPr>
          <w:sz w:val="28"/>
          <w:szCs w:val="28"/>
        </w:rPr>
      </w:pPr>
      <w:r w:rsidRPr="00437F74">
        <w:rPr>
          <w:sz w:val="28"/>
          <w:szCs w:val="28"/>
        </w:rPr>
        <w:t xml:space="preserve">- Kinh phí bảo dưỡng, bảo trì, sửa chữa thường xuyên các công trình cơ sở hạ tầng, tài sản phục vụ công tác chuyên môn; sửa chữa nhỏ xe ô tô; kinh phí mua sắm, thay thế trang thiết bị văn phòng phục vụ hoạt động thường xuyên cho các chức danh, phòng làm việc của chức danh, cán bộ, công chức theo tiêu chuẩn, định mức quy định của cấp có thẩm quyền. </w:t>
      </w:r>
    </w:p>
    <w:p w14:paraId="7ABE65FF" w14:textId="77777777" w:rsidR="00D37190" w:rsidRPr="00437F74" w:rsidRDefault="00D37190" w:rsidP="003E3199">
      <w:pPr>
        <w:spacing w:before="60" w:after="60"/>
        <w:ind w:firstLine="567"/>
        <w:jc w:val="both"/>
        <w:rPr>
          <w:sz w:val="28"/>
          <w:szCs w:val="28"/>
        </w:rPr>
      </w:pPr>
      <w:r w:rsidRPr="00437F74">
        <w:rPr>
          <w:sz w:val="28"/>
          <w:szCs w:val="28"/>
        </w:rPr>
        <w:t xml:space="preserve">- Các nhiệm vụ thường xuyên khác theo quy định. </w:t>
      </w:r>
    </w:p>
    <w:p w14:paraId="755BE18B" w14:textId="77777777" w:rsidR="00D37190" w:rsidRPr="00437F74" w:rsidRDefault="00D37190" w:rsidP="003E3199">
      <w:pPr>
        <w:spacing w:before="60" w:after="60"/>
        <w:ind w:firstLine="567"/>
        <w:jc w:val="both"/>
        <w:rPr>
          <w:b/>
          <w:sz w:val="28"/>
          <w:szCs w:val="28"/>
        </w:rPr>
      </w:pPr>
      <w:r w:rsidRPr="00437F74">
        <w:rPr>
          <w:b/>
          <w:sz w:val="28"/>
          <w:szCs w:val="28"/>
        </w:rPr>
        <w:t>e.</w:t>
      </w:r>
      <w:r w:rsidRPr="00437F74">
        <w:rPr>
          <w:sz w:val="28"/>
          <w:szCs w:val="28"/>
        </w:rPr>
        <w:t xml:space="preserve"> Ngoài ra, phân bổ kinh phí cho một số nhiệm vụ không thường xuyên, nhiệm vụ đặc thù của từng đơn vị, địa phương. Căn cứ nhiệm vụ được cấp so thẩm quyền giao, nhu cầu kinh phí theo khối lượng công việc, dự toán các đơn vị đề nghị, chế độ, định mức quy định hiện hành và khả năng cân đối của ngân sách để </w:t>
      </w:r>
      <w:r w:rsidRPr="00437F74">
        <w:rPr>
          <w:sz w:val="28"/>
          <w:szCs w:val="28"/>
        </w:rPr>
        <w:lastRenderedPageBreak/>
        <w:t>phân bổ cho phù hợp với từng nhiệm vụ. Một số nhiệm vụ phát sinh không thường xuyên khác khi được cơ quan có thẩm quyền cho chủ trương, quyết định</w:t>
      </w:r>
    </w:p>
    <w:p w14:paraId="60E87FB7" w14:textId="77777777" w:rsidR="003B15A8" w:rsidRPr="00437F74" w:rsidRDefault="00D37190" w:rsidP="003E3199">
      <w:pPr>
        <w:spacing w:before="60" w:after="60"/>
        <w:ind w:firstLine="567"/>
        <w:jc w:val="both"/>
        <w:rPr>
          <w:sz w:val="28"/>
          <w:szCs w:val="28"/>
        </w:rPr>
      </w:pPr>
      <w:r w:rsidRPr="00437F74">
        <w:rPr>
          <w:b/>
          <w:sz w:val="28"/>
          <w:szCs w:val="28"/>
        </w:rPr>
        <w:t>f</w:t>
      </w:r>
      <w:r w:rsidR="003B15A8" w:rsidRPr="00437F74">
        <w:rPr>
          <w:b/>
          <w:sz w:val="28"/>
          <w:szCs w:val="28"/>
        </w:rPr>
        <w:t>.</w:t>
      </w:r>
      <w:r w:rsidR="00913A9F">
        <w:rPr>
          <w:b/>
          <w:sz w:val="28"/>
          <w:szCs w:val="28"/>
        </w:rPr>
        <w:t xml:space="preserve"> </w:t>
      </w:r>
      <w:r w:rsidR="003B15A8" w:rsidRPr="00437F74">
        <w:rPr>
          <w:b/>
          <w:bCs/>
          <w:sz w:val="28"/>
          <w:szCs w:val="28"/>
          <w:lang w:val="nl-NL"/>
        </w:rPr>
        <w:t>Đối với các đơn vị trường học.</w:t>
      </w:r>
    </w:p>
    <w:p w14:paraId="527870D0" w14:textId="77777777" w:rsidR="006F0001" w:rsidRPr="00437F74" w:rsidRDefault="006F0001" w:rsidP="003E3199">
      <w:pPr>
        <w:spacing w:after="60"/>
        <w:ind w:firstLine="567"/>
        <w:jc w:val="both"/>
        <w:rPr>
          <w:sz w:val="28"/>
          <w:szCs w:val="28"/>
          <w:lang w:val="nl-NL"/>
        </w:rPr>
      </w:pPr>
      <w:r w:rsidRPr="00437F74">
        <w:rPr>
          <w:sz w:val="28"/>
          <w:szCs w:val="28"/>
          <w:lang w:val="nl-NL"/>
        </w:rPr>
        <w:t xml:space="preserve">Kinh phí sự nghiệp giáo dục đào tạo phân bổ 100% chi cho sự nghiệp giáo dục. Định mức phân bổ chi thường xuyên lĩnh vực giáo dục phân bổ phù hợp với tình hình thực tế địa phương, theo cơ chế giao quyền tự chủ tài chính đối với đơn vị sự nghiệp công lập, đảm bảo tỷ lệ chi thường xuyên </w:t>
      </w:r>
      <w:r w:rsidRPr="00437F74">
        <w:rPr>
          <w:i/>
          <w:sz w:val="28"/>
          <w:szCs w:val="28"/>
          <w:lang w:val="nl-NL"/>
        </w:rPr>
        <w:t>(ngoài quỹ lương, phụ cấp và các khoản đóng góp theo lương)</w:t>
      </w:r>
      <w:r w:rsidRPr="00437F74">
        <w:rPr>
          <w:sz w:val="28"/>
          <w:szCs w:val="28"/>
          <w:lang w:val="nl-NL"/>
        </w:rPr>
        <w:t xml:space="preserve"> tối thiểu 15% </w:t>
      </w:r>
      <w:r w:rsidRPr="00437F74">
        <w:rPr>
          <w:i/>
          <w:sz w:val="28"/>
          <w:szCs w:val="28"/>
          <w:lang w:val="nl-NL"/>
        </w:rPr>
        <w:t>(bao gồm cân đối nguồn thu sự nghiệp, thu phí được để lại đơn vị theo quy định)</w:t>
      </w:r>
      <w:r w:rsidRPr="00437F74">
        <w:rPr>
          <w:sz w:val="28"/>
          <w:szCs w:val="28"/>
          <w:lang w:val="nl-NL"/>
        </w:rPr>
        <w:t xml:space="preserve">; Trong đó phân bổ trực tiếp cho các đơn vị trường học từ 24,5 – 25,5 triệu đồng/người/năm, phần kinh phí còn lại phân bổ thực hiện cho các đề án, chính sách do Trung ương, Hội đồng nhân dân tỉnh ban hành và một số nhiệm vụ khác phục vụ cho hoạt động giảng dạy và học tập của ngành theo quy định (bao gồm mua sắm, sửa chữa trang thiết bị...), cụ thể: </w:t>
      </w:r>
    </w:p>
    <w:p w14:paraId="718CB387" w14:textId="77777777" w:rsidR="006F0001" w:rsidRPr="00437F74" w:rsidRDefault="006F0001" w:rsidP="003E3199">
      <w:pPr>
        <w:spacing w:after="60"/>
        <w:ind w:firstLine="567"/>
        <w:jc w:val="both"/>
        <w:rPr>
          <w:sz w:val="28"/>
          <w:szCs w:val="28"/>
          <w:lang w:val="nl-NL"/>
        </w:rPr>
      </w:pPr>
      <w:r w:rsidRPr="00437F74">
        <w:rPr>
          <w:sz w:val="28"/>
          <w:szCs w:val="28"/>
          <w:lang w:val="nl-NL"/>
        </w:rPr>
        <w:t xml:space="preserve">- Đối với các trường có hệ số phụ cấp khu vực dưới 0,5 định mức phân bổ: 24,5 triệu đồng/người/năm. </w:t>
      </w:r>
    </w:p>
    <w:p w14:paraId="3DD02553" w14:textId="77777777" w:rsidR="006F0001" w:rsidRPr="00437F74" w:rsidRDefault="006F0001" w:rsidP="003E3199">
      <w:pPr>
        <w:spacing w:after="60"/>
        <w:ind w:firstLine="567"/>
        <w:jc w:val="both"/>
        <w:rPr>
          <w:sz w:val="28"/>
          <w:szCs w:val="28"/>
          <w:lang w:val="nl-NL"/>
        </w:rPr>
      </w:pPr>
      <w:r w:rsidRPr="00437F74">
        <w:rPr>
          <w:sz w:val="28"/>
          <w:szCs w:val="28"/>
          <w:lang w:val="nl-NL"/>
        </w:rPr>
        <w:t xml:space="preserve">- Đối với các trường có hệ số phụ cấp khu vực từ 0,5 trở lên phân bổ: 25,5 triệu đồng/người/năm. </w:t>
      </w:r>
    </w:p>
    <w:p w14:paraId="7534AE8D" w14:textId="77777777" w:rsidR="006F0001" w:rsidRPr="00437F74" w:rsidRDefault="006F0001" w:rsidP="003E3199">
      <w:pPr>
        <w:spacing w:after="60"/>
        <w:ind w:firstLine="567"/>
        <w:jc w:val="both"/>
        <w:rPr>
          <w:sz w:val="28"/>
          <w:szCs w:val="28"/>
          <w:lang w:val="nl-NL"/>
        </w:rPr>
      </w:pPr>
      <w:r w:rsidRPr="00437F74">
        <w:rPr>
          <w:sz w:val="28"/>
          <w:szCs w:val="28"/>
          <w:lang w:val="nl-NL"/>
        </w:rPr>
        <w:t xml:space="preserve">Định mức phân bổ chi thường xuyên trên đã bao gồm: Kinh phí chi trả chế độ cho giáo viên thể dục, kinh phí nâng bậc lương hằng năm của giáo viên, kinh phí hướng dẫn giáo viên tập sự, bổ nhiệm chức danh nghề nghiệp và xếp lại bậc lương viên chức, kinh phí phụ cấp thu hút, phụ cấp ưu đãi cho giáo viên do điều chỉnh phân công chuyên môn, kinh phí đào tạo nâng chuẩn cho giáo viên và các nhiệm vụ thường xuyên phục vụ dạy và học. Các đơn vị trường học phải bố trí tối thiểu 20% kinh phí chi thường xuyên để chi tăng cường cơ sở vật chất, sửa chữa nhỏ và mua sắm các tài sản, công cụ dụng cụ tại trường. </w:t>
      </w:r>
    </w:p>
    <w:p w14:paraId="0119496B" w14:textId="77777777" w:rsidR="005A0BCC" w:rsidRPr="00437F74" w:rsidRDefault="005A0BCC" w:rsidP="003E3199">
      <w:pPr>
        <w:spacing w:after="60"/>
        <w:ind w:firstLine="567"/>
        <w:jc w:val="both"/>
        <w:rPr>
          <w:sz w:val="28"/>
          <w:szCs w:val="28"/>
          <w:lang w:val="nl-NL"/>
        </w:rPr>
      </w:pPr>
      <w:r w:rsidRPr="00437F74">
        <w:rPr>
          <w:b/>
          <w:sz w:val="28"/>
          <w:szCs w:val="28"/>
        </w:rPr>
        <w:t xml:space="preserve">g. </w:t>
      </w:r>
      <w:bookmarkStart w:id="4" w:name="_Hlk89502155"/>
      <w:r w:rsidR="002918B1" w:rsidRPr="00437F74">
        <w:rPr>
          <w:sz w:val="28"/>
          <w:szCs w:val="28"/>
          <w:lang w:val="nl-NL"/>
        </w:rPr>
        <w:t>Giao tiết kiệm 10% chi thường xuyên của các đơn vị dự toán năm 2024. Phần kinh phí chi thường xuyên tiết kiệm được để tạo nguồn thực hiện CCTL, tăng chi đầu tư phát triển và các nhiệm vụ cấp bách khác thuộc nhiệm vụ chi của ngân sách địa phương theo quy định</w:t>
      </w:r>
      <w:r w:rsidRPr="00437F74">
        <w:rPr>
          <w:sz w:val="28"/>
          <w:szCs w:val="28"/>
          <w:lang w:val="nl-NL"/>
        </w:rPr>
        <w:t>.</w:t>
      </w:r>
      <w:bookmarkEnd w:id="4"/>
    </w:p>
    <w:p w14:paraId="42223A74" w14:textId="77777777" w:rsidR="002918B1" w:rsidRPr="00437F74" w:rsidRDefault="005A0BCC" w:rsidP="003E3199">
      <w:pPr>
        <w:spacing w:after="60"/>
        <w:ind w:firstLine="567"/>
        <w:jc w:val="both"/>
        <w:rPr>
          <w:i/>
          <w:iCs/>
          <w:sz w:val="28"/>
          <w:szCs w:val="28"/>
          <w:lang w:val="nl-NL"/>
        </w:rPr>
      </w:pPr>
      <w:r w:rsidRPr="00437F74">
        <w:rPr>
          <w:b/>
          <w:sz w:val="28"/>
          <w:szCs w:val="28"/>
        </w:rPr>
        <w:t>h.</w:t>
      </w:r>
      <w:r w:rsidR="00913A9F">
        <w:rPr>
          <w:b/>
          <w:sz w:val="28"/>
          <w:szCs w:val="28"/>
        </w:rPr>
        <w:t xml:space="preserve"> </w:t>
      </w:r>
      <w:r w:rsidR="002918B1" w:rsidRPr="00437F74">
        <w:rPr>
          <w:sz w:val="28"/>
          <w:szCs w:val="28"/>
          <w:lang w:val="nl-NL"/>
        </w:rPr>
        <w:t xml:space="preserve">Dự phòng ngân sách phân bổ 2% trên tổng chi ngân sách </w:t>
      </w:r>
      <w:r w:rsidR="002918B1" w:rsidRPr="00437F74">
        <w:rPr>
          <w:i/>
          <w:iCs/>
          <w:sz w:val="28"/>
          <w:szCs w:val="28"/>
          <w:lang w:val="nl-NL"/>
        </w:rPr>
        <w:t>(loại trừ chi bổ sung có mục tiêu từ ngân sách cấp trên).</w:t>
      </w:r>
    </w:p>
    <w:p w14:paraId="362950E7" w14:textId="77777777" w:rsidR="000568A1" w:rsidRPr="00437F74" w:rsidRDefault="000568A1" w:rsidP="003E3199">
      <w:pPr>
        <w:spacing w:before="60" w:after="60"/>
        <w:ind w:firstLine="567"/>
        <w:jc w:val="both"/>
        <w:rPr>
          <w:b/>
          <w:sz w:val="28"/>
          <w:szCs w:val="28"/>
        </w:rPr>
      </w:pPr>
      <w:r w:rsidRPr="00437F74">
        <w:rPr>
          <w:b/>
          <w:sz w:val="28"/>
          <w:szCs w:val="28"/>
        </w:rPr>
        <w:t xml:space="preserve">II. </w:t>
      </w:r>
      <w:r w:rsidR="009E0687" w:rsidRPr="00437F74">
        <w:rPr>
          <w:b/>
          <w:sz w:val="28"/>
          <w:szCs w:val="28"/>
        </w:rPr>
        <w:t>PHÂN BỔ NGÂN SÁCH ĐỊA PHƯƠNG NĂM 202</w:t>
      </w:r>
      <w:r w:rsidR="00EF236B" w:rsidRPr="00437F74">
        <w:rPr>
          <w:b/>
          <w:sz w:val="28"/>
          <w:szCs w:val="28"/>
        </w:rPr>
        <w:t>4</w:t>
      </w:r>
    </w:p>
    <w:p w14:paraId="6A118E46" w14:textId="77777777" w:rsidR="003B3409" w:rsidRPr="00437F74" w:rsidRDefault="00257161" w:rsidP="003E3199">
      <w:pPr>
        <w:spacing w:before="60" w:after="60"/>
        <w:ind w:firstLine="567"/>
        <w:jc w:val="both"/>
        <w:rPr>
          <w:sz w:val="28"/>
          <w:szCs w:val="28"/>
        </w:rPr>
      </w:pPr>
      <w:r w:rsidRPr="00437F74">
        <w:rPr>
          <w:sz w:val="28"/>
          <w:szCs w:val="28"/>
        </w:rPr>
        <w:t>P</w:t>
      </w:r>
      <w:r w:rsidR="003B3409" w:rsidRPr="00437F74">
        <w:rPr>
          <w:sz w:val="28"/>
          <w:szCs w:val="28"/>
        </w:rPr>
        <w:t xml:space="preserve">hân </w:t>
      </w:r>
      <w:r w:rsidR="00A11329" w:rsidRPr="00437F74">
        <w:rPr>
          <w:sz w:val="28"/>
          <w:szCs w:val="28"/>
        </w:rPr>
        <w:t>bổ ngân sách địa phương năm 20</w:t>
      </w:r>
      <w:r w:rsidR="00175398" w:rsidRPr="00437F74">
        <w:rPr>
          <w:sz w:val="28"/>
          <w:szCs w:val="28"/>
        </w:rPr>
        <w:t>2</w:t>
      </w:r>
      <w:r w:rsidR="00EF236B" w:rsidRPr="00437F74">
        <w:rPr>
          <w:sz w:val="28"/>
          <w:szCs w:val="28"/>
        </w:rPr>
        <w:t>4</w:t>
      </w:r>
      <w:r w:rsidR="003B3409" w:rsidRPr="00437F74">
        <w:rPr>
          <w:sz w:val="28"/>
          <w:szCs w:val="28"/>
        </w:rPr>
        <w:t xml:space="preserve"> như sau:</w:t>
      </w:r>
    </w:p>
    <w:p w14:paraId="3E8C03E6" w14:textId="77777777" w:rsidR="007B4E9A" w:rsidRPr="00437F74" w:rsidRDefault="007B4E9A" w:rsidP="003E3199">
      <w:pPr>
        <w:spacing w:after="60" w:line="22" w:lineRule="atLeast"/>
        <w:ind w:firstLine="709"/>
        <w:jc w:val="both"/>
        <w:rPr>
          <w:b/>
          <w:sz w:val="28"/>
          <w:szCs w:val="28"/>
        </w:rPr>
      </w:pPr>
      <w:bookmarkStart w:id="5" w:name="_Hlk90109495"/>
      <w:r w:rsidRPr="00437F74">
        <w:rPr>
          <w:b/>
          <w:sz w:val="28"/>
          <w:szCs w:val="28"/>
        </w:rPr>
        <w:t>1. Thu ngân sách:</w:t>
      </w:r>
    </w:p>
    <w:bookmarkEnd w:id="5"/>
    <w:p w14:paraId="1C7E5AAF" w14:textId="77777777" w:rsidR="00E70486" w:rsidRPr="00437F74" w:rsidRDefault="00E70486" w:rsidP="003E3199">
      <w:pPr>
        <w:spacing w:after="60"/>
        <w:ind w:firstLine="720"/>
        <w:jc w:val="both"/>
        <w:rPr>
          <w:sz w:val="28"/>
          <w:szCs w:val="28"/>
        </w:rPr>
      </w:pPr>
      <w:r w:rsidRPr="00437F74">
        <w:rPr>
          <w:sz w:val="28"/>
          <w:szCs w:val="28"/>
        </w:rPr>
        <w:t>Dự toán thu ngân sách nhà nước năm 2024: 658.989 triệu đồng, trong đó ngân sách huyện và xã hưởng: 594.668 triệu đồng, cụ thể:</w:t>
      </w:r>
    </w:p>
    <w:p w14:paraId="3669B408" w14:textId="77777777" w:rsidR="00E70486" w:rsidRPr="00437F74" w:rsidRDefault="00E70486" w:rsidP="003E3199">
      <w:pPr>
        <w:spacing w:after="60"/>
        <w:ind w:firstLine="720"/>
        <w:jc w:val="both"/>
        <w:rPr>
          <w:sz w:val="28"/>
          <w:szCs w:val="28"/>
        </w:rPr>
      </w:pPr>
      <w:r w:rsidRPr="00437F74">
        <w:rPr>
          <w:sz w:val="28"/>
          <w:szCs w:val="28"/>
        </w:rPr>
        <w:t xml:space="preserve">- Thu cân đối ngân sách trên địa bàn: 154.900 triệu đồng, ngân sách huyện và xã hưởng: 90.580 triệu đồng, sau khi loại trừ thu tiền sử dụng đất là: 70.340 triệu đồng </w:t>
      </w:r>
      <w:r w:rsidRPr="00437F74">
        <w:rPr>
          <w:i/>
          <w:sz w:val="28"/>
          <w:szCs w:val="28"/>
        </w:rPr>
        <w:t>(</w:t>
      </w:r>
      <w:r w:rsidRPr="00437F74">
        <w:rPr>
          <w:i/>
          <w:iCs/>
          <w:sz w:val="28"/>
          <w:szCs w:val="28"/>
        </w:rPr>
        <w:t>giảm 8.416 triệu đồng so với dự toán năm 2023)</w:t>
      </w:r>
      <w:r w:rsidRPr="00437F74">
        <w:rPr>
          <w:sz w:val="28"/>
          <w:szCs w:val="28"/>
        </w:rPr>
        <w:t>.</w:t>
      </w:r>
    </w:p>
    <w:p w14:paraId="102C6330" w14:textId="77777777" w:rsidR="00E70486" w:rsidRPr="00437F74" w:rsidRDefault="00E70486" w:rsidP="003E3199">
      <w:pPr>
        <w:spacing w:after="60"/>
        <w:ind w:firstLine="720"/>
        <w:jc w:val="both"/>
        <w:rPr>
          <w:sz w:val="28"/>
          <w:szCs w:val="28"/>
        </w:rPr>
      </w:pPr>
      <w:r w:rsidRPr="00437F74">
        <w:rPr>
          <w:sz w:val="28"/>
          <w:szCs w:val="28"/>
        </w:rPr>
        <w:t xml:space="preserve">- Thu bổ sung từ ngân sách cấp trên: 504.089 triệu đồng </w:t>
      </w:r>
      <w:r w:rsidRPr="00437F74">
        <w:rPr>
          <w:i/>
          <w:iCs/>
          <w:sz w:val="28"/>
          <w:szCs w:val="28"/>
        </w:rPr>
        <w:t>(bổ sung cân đối: 403.517 triệu đồng, bổ sung có mục tiêu: 17.722 triệu đồng, Chương trình MTQG: 82.850 triệu đồng)</w:t>
      </w:r>
      <w:r w:rsidRPr="00437F74">
        <w:rPr>
          <w:sz w:val="28"/>
          <w:szCs w:val="28"/>
        </w:rPr>
        <w:t>.</w:t>
      </w:r>
    </w:p>
    <w:p w14:paraId="11E5D878" w14:textId="77777777" w:rsidR="00BE6A8A" w:rsidRPr="00437F74" w:rsidRDefault="00BE6A8A" w:rsidP="003E3199">
      <w:pPr>
        <w:spacing w:after="60" w:line="22" w:lineRule="atLeast"/>
        <w:ind w:firstLine="900"/>
        <w:jc w:val="both"/>
        <w:rPr>
          <w:b/>
          <w:sz w:val="28"/>
          <w:szCs w:val="28"/>
        </w:rPr>
      </w:pPr>
      <w:r w:rsidRPr="00437F74">
        <w:rPr>
          <w:b/>
          <w:sz w:val="28"/>
          <w:szCs w:val="28"/>
        </w:rPr>
        <w:lastRenderedPageBreak/>
        <w:t>2. Chi ngân sách:</w:t>
      </w:r>
    </w:p>
    <w:p w14:paraId="39AE37A1" w14:textId="77777777" w:rsidR="00BE6A8A" w:rsidRPr="00437F74" w:rsidRDefault="00BE6A8A" w:rsidP="003E3199">
      <w:pPr>
        <w:spacing w:after="60"/>
        <w:ind w:firstLine="720"/>
        <w:jc w:val="both"/>
        <w:rPr>
          <w:sz w:val="28"/>
          <w:szCs w:val="28"/>
        </w:rPr>
      </w:pPr>
      <w:r w:rsidRPr="00437F74">
        <w:rPr>
          <w:sz w:val="28"/>
          <w:szCs w:val="28"/>
        </w:rPr>
        <w:t xml:space="preserve">Tổng chi ngân sách địa phương là: </w:t>
      </w:r>
      <w:r w:rsidR="00E70486" w:rsidRPr="00437F74">
        <w:rPr>
          <w:sz w:val="28"/>
          <w:szCs w:val="28"/>
        </w:rPr>
        <w:t xml:space="preserve">594.668 </w:t>
      </w:r>
      <w:r w:rsidRPr="00437F74">
        <w:rPr>
          <w:sz w:val="28"/>
          <w:szCs w:val="28"/>
        </w:rPr>
        <w:t>triệu đồng. Dự toán chi ngân sách được phân bổ một số lĩnh vực sau:</w:t>
      </w:r>
    </w:p>
    <w:p w14:paraId="6B98F2A1" w14:textId="77777777" w:rsidR="00BE6A8A" w:rsidRPr="00437F74" w:rsidRDefault="00BE6A8A" w:rsidP="003E3199">
      <w:pPr>
        <w:spacing w:after="60"/>
        <w:ind w:firstLine="720"/>
        <w:jc w:val="both"/>
        <w:rPr>
          <w:sz w:val="28"/>
          <w:szCs w:val="28"/>
        </w:rPr>
      </w:pPr>
      <w:r w:rsidRPr="00437F74">
        <w:rPr>
          <w:sz w:val="28"/>
          <w:szCs w:val="28"/>
        </w:rPr>
        <w:t>2.1. Chi đầu tư phát triển: 27.265 triệu đồng. Trong đó:</w:t>
      </w:r>
    </w:p>
    <w:p w14:paraId="65A0EDD7" w14:textId="77777777" w:rsidR="00BE6A8A" w:rsidRPr="00437F74" w:rsidRDefault="00BE6A8A" w:rsidP="003E3199">
      <w:pPr>
        <w:spacing w:after="60"/>
        <w:ind w:firstLine="907"/>
        <w:jc w:val="both"/>
        <w:rPr>
          <w:i/>
          <w:sz w:val="28"/>
          <w:szCs w:val="28"/>
        </w:rPr>
      </w:pPr>
      <w:r w:rsidRPr="00437F74">
        <w:rPr>
          <w:i/>
          <w:sz w:val="28"/>
          <w:szCs w:val="28"/>
        </w:rPr>
        <w:t>- Chi XDCB tập trung phân cấp cho huyện, xã: 7.025 triệu đồng.</w:t>
      </w:r>
    </w:p>
    <w:p w14:paraId="69D14BE9" w14:textId="77777777" w:rsidR="00BE6A8A" w:rsidRPr="00437F74" w:rsidRDefault="00BE6A8A" w:rsidP="003E3199">
      <w:pPr>
        <w:spacing w:after="60"/>
        <w:ind w:firstLine="907"/>
        <w:jc w:val="both"/>
        <w:rPr>
          <w:i/>
          <w:sz w:val="28"/>
          <w:szCs w:val="28"/>
        </w:rPr>
      </w:pPr>
      <w:r w:rsidRPr="00437F74">
        <w:rPr>
          <w:i/>
          <w:sz w:val="28"/>
          <w:szCs w:val="28"/>
        </w:rPr>
        <w:t xml:space="preserve">- Chi đầu tư xây dựng từ nguồn thu tiền sử dụng đất: 20.240 triệu đồng. </w:t>
      </w:r>
    </w:p>
    <w:p w14:paraId="1D5A1EAF" w14:textId="77777777" w:rsidR="00BE6A8A" w:rsidRPr="00437F74" w:rsidRDefault="00BE6A8A" w:rsidP="003E3199">
      <w:pPr>
        <w:spacing w:after="60"/>
        <w:ind w:firstLine="720"/>
        <w:jc w:val="both"/>
        <w:rPr>
          <w:sz w:val="28"/>
          <w:szCs w:val="28"/>
        </w:rPr>
      </w:pPr>
      <w:r w:rsidRPr="00437F74">
        <w:rPr>
          <w:sz w:val="28"/>
          <w:szCs w:val="28"/>
        </w:rPr>
        <w:t xml:space="preserve">2.2. Chi thường xuyên: </w:t>
      </w:r>
      <w:r w:rsidR="00E70486" w:rsidRPr="00437F74">
        <w:rPr>
          <w:sz w:val="28"/>
          <w:szCs w:val="28"/>
        </w:rPr>
        <w:t>447.972</w:t>
      </w:r>
      <w:r w:rsidRPr="00437F74">
        <w:rPr>
          <w:sz w:val="28"/>
          <w:szCs w:val="28"/>
        </w:rPr>
        <w:t xml:space="preserve"> triệu đồng. Trong đó:</w:t>
      </w:r>
    </w:p>
    <w:p w14:paraId="2557EEC6" w14:textId="77777777" w:rsidR="000A3F87" w:rsidRPr="00437F74" w:rsidRDefault="000A3F87" w:rsidP="003E3199">
      <w:pPr>
        <w:spacing w:after="60"/>
        <w:ind w:firstLine="907"/>
        <w:jc w:val="both"/>
        <w:rPr>
          <w:i/>
          <w:sz w:val="28"/>
          <w:szCs w:val="28"/>
        </w:rPr>
      </w:pPr>
      <w:bookmarkStart w:id="6" w:name="_Hlk90109702"/>
      <w:r w:rsidRPr="00437F74">
        <w:rPr>
          <w:i/>
          <w:sz w:val="28"/>
          <w:szCs w:val="28"/>
        </w:rPr>
        <w:t xml:space="preserve">- Chi sự nghiệp </w:t>
      </w:r>
      <w:r w:rsidR="00E70486" w:rsidRPr="00437F74">
        <w:rPr>
          <w:i/>
          <w:sz w:val="28"/>
          <w:szCs w:val="28"/>
        </w:rPr>
        <w:t>giáo dục và đào tạo</w:t>
      </w:r>
      <w:r w:rsidRPr="00437F74">
        <w:rPr>
          <w:i/>
          <w:sz w:val="28"/>
          <w:szCs w:val="28"/>
        </w:rPr>
        <w:t xml:space="preserve">: </w:t>
      </w:r>
      <w:r w:rsidR="00E70486" w:rsidRPr="00437F74">
        <w:rPr>
          <w:i/>
          <w:sz w:val="28"/>
          <w:szCs w:val="28"/>
        </w:rPr>
        <w:t>289063</w:t>
      </w:r>
      <w:r w:rsidRPr="00437F74">
        <w:rPr>
          <w:i/>
          <w:sz w:val="28"/>
          <w:szCs w:val="28"/>
        </w:rPr>
        <w:t xml:space="preserve"> triệu đồng.</w:t>
      </w:r>
    </w:p>
    <w:p w14:paraId="396FFB8B" w14:textId="77777777" w:rsidR="000A3F87" w:rsidRPr="00437F74" w:rsidRDefault="000A3F87" w:rsidP="003E3199">
      <w:pPr>
        <w:spacing w:after="60"/>
        <w:ind w:firstLine="907"/>
        <w:jc w:val="both"/>
        <w:rPr>
          <w:i/>
          <w:sz w:val="28"/>
          <w:szCs w:val="28"/>
        </w:rPr>
      </w:pPr>
      <w:r w:rsidRPr="00437F74">
        <w:rPr>
          <w:i/>
          <w:sz w:val="28"/>
          <w:szCs w:val="28"/>
        </w:rPr>
        <w:t xml:space="preserve">- Chi sự nghiệp </w:t>
      </w:r>
      <w:r w:rsidR="00E70486" w:rsidRPr="00437F74">
        <w:rPr>
          <w:i/>
          <w:sz w:val="28"/>
          <w:szCs w:val="28"/>
        </w:rPr>
        <w:t>khoa học công nghệ</w:t>
      </w:r>
      <w:r w:rsidRPr="00437F74">
        <w:rPr>
          <w:i/>
          <w:sz w:val="28"/>
          <w:szCs w:val="28"/>
        </w:rPr>
        <w:t xml:space="preserve">: </w:t>
      </w:r>
      <w:r w:rsidR="00E70486" w:rsidRPr="00437F74">
        <w:rPr>
          <w:i/>
          <w:sz w:val="28"/>
          <w:szCs w:val="28"/>
        </w:rPr>
        <w:t>200</w:t>
      </w:r>
      <w:r w:rsidRPr="00437F74">
        <w:rPr>
          <w:i/>
          <w:sz w:val="28"/>
          <w:szCs w:val="28"/>
        </w:rPr>
        <w:t xml:space="preserve"> triệu đồng.</w:t>
      </w:r>
    </w:p>
    <w:p w14:paraId="1811E6A1" w14:textId="77777777" w:rsidR="00E70486" w:rsidRPr="00437F74" w:rsidRDefault="00E70486" w:rsidP="003E3199">
      <w:pPr>
        <w:spacing w:after="60"/>
        <w:ind w:firstLine="907"/>
        <w:jc w:val="both"/>
        <w:rPr>
          <w:i/>
          <w:sz w:val="28"/>
          <w:szCs w:val="28"/>
        </w:rPr>
      </w:pPr>
      <w:r w:rsidRPr="00437F74">
        <w:rPr>
          <w:i/>
          <w:sz w:val="28"/>
          <w:szCs w:val="28"/>
        </w:rPr>
        <w:t>- Chi an ninh - quốc phòng: 9.337 triệu đồng.</w:t>
      </w:r>
    </w:p>
    <w:p w14:paraId="01C96DE2" w14:textId="77777777" w:rsidR="00E70486" w:rsidRPr="00437F74" w:rsidRDefault="00E70486" w:rsidP="003E3199">
      <w:pPr>
        <w:spacing w:after="60"/>
        <w:ind w:firstLine="907"/>
        <w:jc w:val="both"/>
        <w:rPr>
          <w:i/>
          <w:sz w:val="28"/>
          <w:szCs w:val="28"/>
        </w:rPr>
      </w:pPr>
      <w:r w:rsidRPr="00437F74">
        <w:rPr>
          <w:i/>
          <w:sz w:val="28"/>
          <w:szCs w:val="28"/>
        </w:rPr>
        <w:t>- Chi sự nghiệp y tế: 700 triệu đồng.</w:t>
      </w:r>
    </w:p>
    <w:p w14:paraId="27891DD7" w14:textId="77777777" w:rsidR="00E70486" w:rsidRPr="00437F74" w:rsidRDefault="00E70486" w:rsidP="003E3199">
      <w:pPr>
        <w:spacing w:after="60"/>
        <w:ind w:firstLine="907"/>
        <w:jc w:val="both"/>
        <w:rPr>
          <w:i/>
          <w:sz w:val="28"/>
          <w:szCs w:val="28"/>
        </w:rPr>
      </w:pPr>
      <w:r w:rsidRPr="00437F74">
        <w:rPr>
          <w:i/>
          <w:sz w:val="28"/>
          <w:szCs w:val="28"/>
        </w:rPr>
        <w:t>- Chi sự nghiệp VH-TT-DL-TT và TT-TH: 2.800 triệu đồng.</w:t>
      </w:r>
    </w:p>
    <w:p w14:paraId="524A976D" w14:textId="77777777" w:rsidR="00E70486" w:rsidRPr="00437F74" w:rsidRDefault="00E70486" w:rsidP="003E3199">
      <w:pPr>
        <w:spacing w:after="60"/>
        <w:ind w:firstLine="907"/>
        <w:jc w:val="both"/>
        <w:rPr>
          <w:i/>
          <w:sz w:val="28"/>
          <w:szCs w:val="28"/>
        </w:rPr>
      </w:pPr>
      <w:r w:rsidRPr="00437F74">
        <w:rPr>
          <w:i/>
          <w:sz w:val="28"/>
          <w:szCs w:val="28"/>
        </w:rPr>
        <w:t>- Chi sự nghiệp môi trường: 10.757 triệu đồng.</w:t>
      </w:r>
    </w:p>
    <w:p w14:paraId="12A004AC" w14:textId="77777777" w:rsidR="00E70486" w:rsidRPr="00437F74" w:rsidRDefault="00E70486" w:rsidP="003E3199">
      <w:pPr>
        <w:spacing w:after="60"/>
        <w:ind w:firstLine="907"/>
        <w:jc w:val="both"/>
        <w:rPr>
          <w:i/>
          <w:sz w:val="28"/>
          <w:szCs w:val="28"/>
        </w:rPr>
      </w:pPr>
      <w:r w:rsidRPr="00437F74">
        <w:rPr>
          <w:i/>
          <w:sz w:val="28"/>
          <w:szCs w:val="28"/>
        </w:rPr>
        <w:t>- Chi hoạt động kinh tế: 18.838 triệu đồng.</w:t>
      </w:r>
    </w:p>
    <w:p w14:paraId="1FDFE652" w14:textId="77777777" w:rsidR="000A3F87" w:rsidRPr="00437F74" w:rsidRDefault="000A3F87" w:rsidP="003E3199">
      <w:pPr>
        <w:spacing w:after="60"/>
        <w:ind w:firstLine="907"/>
        <w:jc w:val="both"/>
        <w:rPr>
          <w:i/>
          <w:sz w:val="28"/>
          <w:szCs w:val="28"/>
        </w:rPr>
      </w:pPr>
      <w:r w:rsidRPr="00437F74">
        <w:rPr>
          <w:i/>
          <w:sz w:val="28"/>
          <w:szCs w:val="28"/>
        </w:rPr>
        <w:t xml:space="preserve">- Chi quản lý hành chính: </w:t>
      </w:r>
      <w:r w:rsidR="00E70486" w:rsidRPr="00437F74">
        <w:rPr>
          <w:i/>
          <w:sz w:val="28"/>
          <w:szCs w:val="28"/>
        </w:rPr>
        <w:t>84.043</w:t>
      </w:r>
      <w:r w:rsidRPr="00437F74">
        <w:rPr>
          <w:i/>
          <w:sz w:val="28"/>
          <w:szCs w:val="28"/>
        </w:rPr>
        <w:t xml:space="preserve"> triệu đồng.</w:t>
      </w:r>
    </w:p>
    <w:p w14:paraId="6B93953A" w14:textId="77777777" w:rsidR="00E70486" w:rsidRPr="00437F74" w:rsidRDefault="00E70486" w:rsidP="003E3199">
      <w:pPr>
        <w:spacing w:after="60"/>
        <w:ind w:firstLine="907"/>
        <w:jc w:val="both"/>
        <w:rPr>
          <w:i/>
          <w:sz w:val="28"/>
          <w:szCs w:val="28"/>
        </w:rPr>
      </w:pPr>
      <w:r w:rsidRPr="00437F74">
        <w:rPr>
          <w:i/>
          <w:sz w:val="28"/>
          <w:szCs w:val="28"/>
        </w:rPr>
        <w:t>- Chi đảm bảo xã hội: 24.000 triệu đồng.</w:t>
      </w:r>
    </w:p>
    <w:p w14:paraId="17D0D02D" w14:textId="77777777" w:rsidR="000A3F87" w:rsidRPr="00437F74" w:rsidRDefault="000A3F87" w:rsidP="003E3199">
      <w:pPr>
        <w:spacing w:after="60"/>
        <w:ind w:firstLine="907"/>
        <w:jc w:val="both"/>
        <w:rPr>
          <w:i/>
          <w:sz w:val="28"/>
          <w:szCs w:val="28"/>
        </w:rPr>
      </w:pPr>
      <w:r w:rsidRPr="00437F74">
        <w:rPr>
          <w:i/>
          <w:sz w:val="28"/>
          <w:szCs w:val="28"/>
        </w:rPr>
        <w:t xml:space="preserve">- Chi khác ngân sách: </w:t>
      </w:r>
      <w:r w:rsidR="00CF251E" w:rsidRPr="00437F74">
        <w:rPr>
          <w:i/>
          <w:sz w:val="28"/>
          <w:szCs w:val="28"/>
        </w:rPr>
        <w:t>8.2</w:t>
      </w:r>
      <w:r w:rsidR="00E70486" w:rsidRPr="00437F74">
        <w:rPr>
          <w:i/>
          <w:sz w:val="28"/>
          <w:szCs w:val="28"/>
        </w:rPr>
        <w:t>3</w:t>
      </w:r>
      <w:r w:rsidR="00CF251E" w:rsidRPr="00437F74">
        <w:rPr>
          <w:i/>
          <w:sz w:val="28"/>
          <w:szCs w:val="28"/>
        </w:rPr>
        <w:t>4</w:t>
      </w:r>
      <w:r w:rsidRPr="00437F74">
        <w:rPr>
          <w:i/>
          <w:sz w:val="28"/>
          <w:szCs w:val="28"/>
        </w:rPr>
        <w:t xml:space="preserve"> triệu đồng.</w:t>
      </w:r>
    </w:p>
    <w:p w14:paraId="40CF1CCC" w14:textId="77777777" w:rsidR="000A3F87" w:rsidRPr="00437F74" w:rsidRDefault="00E70486" w:rsidP="003E3199">
      <w:pPr>
        <w:spacing w:after="60"/>
        <w:ind w:firstLine="720"/>
        <w:jc w:val="both"/>
        <w:rPr>
          <w:sz w:val="28"/>
          <w:szCs w:val="28"/>
        </w:rPr>
      </w:pPr>
      <w:r w:rsidRPr="00437F74">
        <w:rPr>
          <w:sz w:val="28"/>
          <w:szCs w:val="28"/>
        </w:rPr>
        <w:t>2.3</w:t>
      </w:r>
      <w:r w:rsidR="000A3F87" w:rsidRPr="00437F74">
        <w:rPr>
          <w:sz w:val="28"/>
          <w:szCs w:val="28"/>
        </w:rPr>
        <w:t xml:space="preserve"> Kinh phí thực hiện CCTL năm 202</w:t>
      </w:r>
      <w:r w:rsidR="00CF251E" w:rsidRPr="00437F74">
        <w:rPr>
          <w:sz w:val="28"/>
          <w:szCs w:val="28"/>
        </w:rPr>
        <w:t>3</w:t>
      </w:r>
      <w:r w:rsidR="000A3F87" w:rsidRPr="00437F74">
        <w:rPr>
          <w:sz w:val="28"/>
          <w:szCs w:val="28"/>
        </w:rPr>
        <w:t xml:space="preserve">: </w:t>
      </w:r>
      <w:r w:rsidR="00CF251E" w:rsidRPr="00437F74">
        <w:rPr>
          <w:sz w:val="28"/>
          <w:szCs w:val="28"/>
        </w:rPr>
        <w:t>8.659</w:t>
      </w:r>
      <w:r w:rsidR="000A3F87" w:rsidRPr="00437F74">
        <w:rPr>
          <w:sz w:val="28"/>
          <w:szCs w:val="28"/>
        </w:rPr>
        <w:t xml:space="preserve"> triệu đồng.</w:t>
      </w:r>
    </w:p>
    <w:bookmarkEnd w:id="6"/>
    <w:p w14:paraId="64909EC4" w14:textId="77777777" w:rsidR="00BE6A8A" w:rsidRPr="00437F74" w:rsidRDefault="00BE6A8A" w:rsidP="003E3199">
      <w:pPr>
        <w:spacing w:after="60"/>
        <w:ind w:firstLine="720"/>
        <w:jc w:val="both"/>
        <w:rPr>
          <w:sz w:val="28"/>
          <w:szCs w:val="28"/>
          <w:lang w:val="it-IT"/>
        </w:rPr>
      </w:pPr>
      <w:r w:rsidRPr="00437F74">
        <w:rPr>
          <w:sz w:val="28"/>
          <w:szCs w:val="28"/>
          <w:lang w:val="it-IT"/>
        </w:rPr>
        <w:t>2.</w:t>
      </w:r>
      <w:r w:rsidR="00E70486" w:rsidRPr="00437F74">
        <w:rPr>
          <w:sz w:val="28"/>
          <w:szCs w:val="28"/>
          <w:lang w:val="it-IT"/>
        </w:rPr>
        <w:t>4</w:t>
      </w:r>
      <w:r w:rsidRPr="00437F74">
        <w:rPr>
          <w:sz w:val="28"/>
          <w:szCs w:val="28"/>
          <w:lang w:val="it-IT"/>
        </w:rPr>
        <w:t xml:space="preserve">. Dự phòng ngân sách: </w:t>
      </w:r>
      <w:r w:rsidR="00E70486" w:rsidRPr="00437F74">
        <w:rPr>
          <w:sz w:val="28"/>
          <w:szCs w:val="28"/>
          <w:lang w:val="it-IT"/>
        </w:rPr>
        <w:t>10</w:t>
      </w:r>
      <w:r w:rsidR="00CF251E" w:rsidRPr="00437F74">
        <w:rPr>
          <w:sz w:val="28"/>
          <w:szCs w:val="28"/>
          <w:lang w:val="it-IT"/>
        </w:rPr>
        <w:t>.</w:t>
      </w:r>
      <w:r w:rsidR="00E70486" w:rsidRPr="00437F74">
        <w:rPr>
          <w:sz w:val="28"/>
          <w:szCs w:val="28"/>
          <w:lang w:val="it-IT"/>
        </w:rPr>
        <w:t>200</w:t>
      </w:r>
      <w:r w:rsidRPr="00437F74">
        <w:rPr>
          <w:sz w:val="28"/>
          <w:szCs w:val="28"/>
          <w:lang w:val="it-IT"/>
        </w:rPr>
        <w:t xml:space="preserve"> triệu đồng.</w:t>
      </w:r>
    </w:p>
    <w:p w14:paraId="1B27AB2F" w14:textId="77777777" w:rsidR="00BE6A8A" w:rsidRPr="00437F74" w:rsidRDefault="00BE6A8A" w:rsidP="003E3199">
      <w:pPr>
        <w:spacing w:before="60" w:after="60"/>
        <w:ind w:firstLine="720"/>
        <w:jc w:val="both"/>
        <w:rPr>
          <w:sz w:val="28"/>
          <w:szCs w:val="28"/>
          <w:lang w:val="it-IT"/>
        </w:rPr>
      </w:pPr>
      <w:r w:rsidRPr="00437F74">
        <w:rPr>
          <w:sz w:val="28"/>
          <w:szCs w:val="28"/>
          <w:lang w:val="it-IT"/>
        </w:rPr>
        <w:t xml:space="preserve">2.4. Chi bổ sung có mục tiêu từ ngân sách cấp trên: </w:t>
      </w:r>
      <w:r w:rsidR="00CF251E" w:rsidRPr="00437F74">
        <w:rPr>
          <w:sz w:val="28"/>
          <w:szCs w:val="28"/>
          <w:lang w:val="it-IT"/>
        </w:rPr>
        <w:t>1</w:t>
      </w:r>
      <w:r w:rsidR="00E70486" w:rsidRPr="00437F74">
        <w:rPr>
          <w:sz w:val="28"/>
          <w:szCs w:val="28"/>
          <w:lang w:val="it-IT"/>
        </w:rPr>
        <w:t>7</w:t>
      </w:r>
      <w:r w:rsidR="00CF251E" w:rsidRPr="00437F74">
        <w:rPr>
          <w:sz w:val="28"/>
          <w:szCs w:val="28"/>
          <w:lang w:val="it-IT"/>
        </w:rPr>
        <w:t>.</w:t>
      </w:r>
      <w:r w:rsidR="00E70486" w:rsidRPr="00437F74">
        <w:rPr>
          <w:sz w:val="28"/>
          <w:szCs w:val="28"/>
          <w:lang w:val="it-IT"/>
        </w:rPr>
        <w:t>72</w:t>
      </w:r>
      <w:r w:rsidR="00CF251E" w:rsidRPr="00437F74">
        <w:rPr>
          <w:sz w:val="28"/>
          <w:szCs w:val="28"/>
          <w:lang w:val="it-IT"/>
        </w:rPr>
        <w:t>2</w:t>
      </w:r>
      <w:r w:rsidRPr="00437F74">
        <w:rPr>
          <w:sz w:val="28"/>
          <w:szCs w:val="28"/>
          <w:lang w:val="it-IT"/>
        </w:rPr>
        <w:t xml:space="preserve"> triệu đồng.</w:t>
      </w:r>
    </w:p>
    <w:p w14:paraId="5BDEE5B7" w14:textId="77777777" w:rsidR="00CF251E" w:rsidRPr="00437F74" w:rsidRDefault="00CF251E" w:rsidP="003E3199">
      <w:pPr>
        <w:spacing w:before="60" w:after="60"/>
        <w:ind w:firstLine="720"/>
        <w:jc w:val="both"/>
        <w:rPr>
          <w:i/>
          <w:sz w:val="28"/>
          <w:szCs w:val="28"/>
        </w:rPr>
      </w:pPr>
      <w:r w:rsidRPr="00437F74">
        <w:rPr>
          <w:sz w:val="28"/>
          <w:szCs w:val="28"/>
          <w:lang w:val="it-IT"/>
        </w:rPr>
        <w:t>2.5 Chương trình mục tiêu quốc gia: 82.850 triệu đồng.</w:t>
      </w:r>
    </w:p>
    <w:p w14:paraId="111F8DCD" w14:textId="77777777" w:rsidR="008D3EDF" w:rsidRPr="00437F74" w:rsidRDefault="008254BA" w:rsidP="003E3199">
      <w:pPr>
        <w:spacing w:before="60" w:after="60"/>
        <w:ind w:firstLine="567"/>
        <w:jc w:val="center"/>
        <w:rPr>
          <w:i/>
          <w:sz w:val="28"/>
          <w:szCs w:val="28"/>
          <w:lang w:val="it-IT"/>
        </w:rPr>
      </w:pPr>
      <w:r w:rsidRPr="00437F74">
        <w:rPr>
          <w:i/>
          <w:sz w:val="28"/>
          <w:szCs w:val="28"/>
          <w:lang w:val="it-IT"/>
        </w:rPr>
        <w:t xml:space="preserve">(Chi tiết tại </w:t>
      </w:r>
      <w:r w:rsidR="00CF251E" w:rsidRPr="00437F74">
        <w:rPr>
          <w:i/>
          <w:sz w:val="28"/>
          <w:szCs w:val="28"/>
          <w:lang w:val="it-IT"/>
        </w:rPr>
        <w:t xml:space="preserve">các </w:t>
      </w:r>
      <w:r w:rsidRPr="00437F74">
        <w:rPr>
          <w:i/>
          <w:sz w:val="28"/>
          <w:szCs w:val="28"/>
          <w:lang w:val="it-IT"/>
        </w:rPr>
        <w:t>P</w:t>
      </w:r>
      <w:r w:rsidR="008D3EDF" w:rsidRPr="00437F74">
        <w:rPr>
          <w:i/>
          <w:sz w:val="28"/>
          <w:szCs w:val="28"/>
          <w:lang w:val="it-IT"/>
        </w:rPr>
        <w:t>hụ biểu kèm theo)</w:t>
      </w:r>
    </w:p>
    <w:p w14:paraId="028FAFAB" w14:textId="77777777" w:rsidR="00C338B8" w:rsidRPr="00437F74" w:rsidRDefault="007D4F0B" w:rsidP="003E3199">
      <w:pPr>
        <w:spacing w:before="60" w:after="60"/>
        <w:ind w:firstLine="567"/>
        <w:jc w:val="both"/>
        <w:rPr>
          <w:b/>
          <w:bCs/>
          <w:sz w:val="28"/>
          <w:szCs w:val="28"/>
          <w:lang w:val="it-IT"/>
        </w:rPr>
      </w:pPr>
      <w:r w:rsidRPr="00437F74">
        <w:rPr>
          <w:b/>
          <w:bCs/>
          <w:sz w:val="28"/>
          <w:szCs w:val="28"/>
          <w:lang w:val="it-IT"/>
        </w:rPr>
        <w:t>III</w:t>
      </w:r>
      <w:r w:rsidR="00C338B8" w:rsidRPr="00437F74">
        <w:rPr>
          <w:b/>
          <w:bCs/>
          <w:sz w:val="28"/>
          <w:szCs w:val="28"/>
          <w:lang w:val="it-IT"/>
        </w:rPr>
        <w:t xml:space="preserve">. </w:t>
      </w:r>
      <w:r w:rsidR="006B0E66" w:rsidRPr="00437F74">
        <w:rPr>
          <w:b/>
          <w:bCs/>
          <w:sz w:val="28"/>
          <w:szCs w:val="28"/>
          <w:lang w:val="it-IT"/>
        </w:rPr>
        <w:t>CÁC GIẢI PHÁP ĐỂ THỰC HIỆN NHIỆM VỤ NGÂN SÁCH NĂM 202</w:t>
      </w:r>
      <w:r w:rsidR="00EF236B" w:rsidRPr="00437F74">
        <w:rPr>
          <w:b/>
          <w:bCs/>
          <w:sz w:val="28"/>
          <w:szCs w:val="28"/>
          <w:lang w:val="it-IT"/>
        </w:rPr>
        <w:t>4</w:t>
      </w:r>
    </w:p>
    <w:p w14:paraId="5D52DD74" w14:textId="77777777" w:rsidR="006E7E6C" w:rsidRPr="00437F74" w:rsidRDefault="00365475" w:rsidP="003E3199">
      <w:pPr>
        <w:spacing w:before="60" w:after="60"/>
        <w:ind w:firstLine="567"/>
        <w:jc w:val="both"/>
        <w:rPr>
          <w:b/>
          <w:sz w:val="28"/>
          <w:szCs w:val="28"/>
          <w:lang w:val="it-IT"/>
        </w:rPr>
      </w:pPr>
      <w:r w:rsidRPr="00437F74">
        <w:rPr>
          <w:b/>
          <w:sz w:val="28"/>
          <w:szCs w:val="28"/>
          <w:lang w:val="it-IT"/>
        </w:rPr>
        <w:t>1.</w:t>
      </w:r>
      <w:r w:rsidR="008254BA" w:rsidRPr="00437F74">
        <w:rPr>
          <w:b/>
          <w:sz w:val="28"/>
          <w:szCs w:val="28"/>
          <w:lang w:val="it-IT"/>
        </w:rPr>
        <w:t xml:space="preserve"> Về thu ngân sách</w:t>
      </w:r>
    </w:p>
    <w:p w14:paraId="4F069D09" w14:textId="77777777" w:rsidR="00D85D5E" w:rsidRPr="00437F74" w:rsidRDefault="00180399" w:rsidP="003E3199">
      <w:pPr>
        <w:spacing w:after="60"/>
        <w:ind w:firstLine="567"/>
        <w:jc w:val="both"/>
        <w:rPr>
          <w:spacing w:val="-4"/>
          <w:sz w:val="28"/>
          <w:szCs w:val="28"/>
          <w:lang w:val="it-IT"/>
        </w:rPr>
      </w:pPr>
      <w:r w:rsidRPr="00437F74">
        <w:rPr>
          <w:sz w:val="28"/>
          <w:szCs w:val="28"/>
          <w:lang w:val="it-IT"/>
        </w:rPr>
        <w:t xml:space="preserve">- </w:t>
      </w:r>
      <w:r w:rsidR="00D85D5E" w:rsidRPr="00437F74">
        <w:rPr>
          <w:sz w:val="28"/>
          <w:szCs w:val="28"/>
          <w:lang w:val="it-IT"/>
        </w:rPr>
        <w:t xml:space="preserve">Tập trung </w:t>
      </w:r>
      <w:r w:rsidR="00D85D5E" w:rsidRPr="00437F74">
        <w:rPr>
          <w:spacing w:val="-4"/>
          <w:sz w:val="28"/>
          <w:szCs w:val="28"/>
          <w:lang w:val="it-IT"/>
        </w:rPr>
        <w:t>cơ cấu lại thu ngân sách sách nhà nước trên địa bàn theo hướng bao quát toàn bộ các nguồn thu, mở rộng cơ sở thu, nhất là các nguồn thu mới. Đẩy mạnh các biện pháp tăng thu ngân sách, quản lý, nuôi dưỡng và khai thác có hiệu quả các nguồn thu, đảm bảo thu đúng, thu đủ, kịp thời, chống thất thu, lạm thu; đẩy mạnh công tác tạo vốn từ quỹ đất. Khai thác tốt nguồn thuế thu từ tài sản, tài nguyên, bảo vệ môi trường. Tăng cường quản lý, khai thác, huy động nguồn lực và nâng cao sử dụng hiệu quả sử dụng tài sản công.</w:t>
      </w:r>
      <w:r w:rsidR="00D31DA6" w:rsidRPr="00437F74">
        <w:rPr>
          <w:spacing w:val="-4"/>
          <w:sz w:val="28"/>
          <w:szCs w:val="28"/>
          <w:lang w:val="it-IT"/>
        </w:rPr>
        <w:t xml:space="preserve"> Chủ động xây dựng Kế hoạch Khai thác nguồn thu và phương án xử lý hụt thu ngân sách Nhà nước năm 202</w:t>
      </w:r>
      <w:r w:rsidR="00D866CA" w:rsidRPr="00437F74">
        <w:rPr>
          <w:spacing w:val="-4"/>
          <w:sz w:val="28"/>
          <w:szCs w:val="28"/>
          <w:lang w:val="it-IT"/>
        </w:rPr>
        <w:t>4</w:t>
      </w:r>
      <w:r w:rsidR="00D31DA6" w:rsidRPr="00437F74">
        <w:rPr>
          <w:spacing w:val="-4"/>
          <w:sz w:val="28"/>
          <w:szCs w:val="28"/>
          <w:lang w:val="it-IT"/>
        </w:rPr>
        <w:t xml:space="preserve"> trên địa bàn huyện.</w:t>
      </w:r>
    </w:p>
    <w:p w14:paraId="4BC33058" w14:textId="77777777" w:rsidR="00507838" w:rsidRPr="00437F74" w:rsidRDefault="00180399" w:rsidP="003E3199">
      <w:pPr>
        <w:spacing w:before="60" w:after="60"/>
        <w:ind w:firstLine="567"/>
        <w:jc w:val="both"/>
        <w:rPr>
          <w:sz w:val="28"/>
          <w:szCs w:val="28"/>
          <w:lang w:val="it-IT"/>
        </w:rPr>
      </w:pPr>
      <w:r w:rsidRPr="00437F74">
        <w:rPr>
          <w:sz w:val="28"/>
          <w:szCs w:val="28"/>
          <w:lang w:val="it-IT"/>
        </w:rPr>
        <w:t xml:space="preserve">- </w:t>
      </w:r>
      <w:r w:rsidR="00507838" w:rsidRPr="00437F74">
        <w:rPr>
          <w:sz w:val="28"/>
          <w:szCs w:val="28"/>
          <w:lang w:val="it-IT"/>
        </w:rPr>
        <w:t>Rà soát lại tình hình</w:t>
      </w:r>
      <w:r w:rsidR="002817B4" w:rsidRPr="00437F74">
        <w:rPr>
          <w:sz w:val="28"/>
          <w:szCs w:val="28"/>
          <w:lang w:val="it-IT"/>
        </w:rPr>
        <w:t xml:space="preserve"> nợ thuế, phân loại đối tượng</w:t>
      </w:r>
      <w:r w:rsidR="00AF79DB" w:rsidRPr="00437F74">
        <w:rPr>
          <w:sz w:val="28"/>
          <w:szCs w:val="28"/>
          <w:lang w:val="it-IT"/>
        </w:rPr>
        <w:t>,</w:t>
      </w:r>
      <w:r w:rsidR="00507838" w:rsidRPr="00437F74">
        <w:rPr>
          <w:sz w:val="28"/>
          <w:szCs w:val="28"/>
          <w:lang w:val="it-IT"/>
        </w:rPr>
        <w:t xml:space="preserve"> có giải pháp xử lý </w:t>
      </w:r>
      <w:r w:rsidR="00573BE5" w:rsidRPr="00437F74">
        <w:rPr>
          <w:sz w:val="28"/>
          <w:szCs w:val="28"/>
          <w:lang w:val="it-IT"/>
        </w:rPr>
        <w:t>đúng quy định</w:t>
      </w:r>
      <w:r w:rsidR="002817B4" w:rsidRPr="00437F74">
        <w:rPr>
          <w:sz w:val="28"/>
          <w:szCs w:val="28"/>
          <w:lang w:val="it-IT"/>
        </w:rPr>
        <w:t>, t</w:t>
      </w:r>
      <w:r w:rsidR="00507838" w:rsidRPr="00437F74">
        <w:rPr>
          <w:sz w:val="28"/>
          <w:szCs w:val="28"/>
          <w:lang w:val="it-IT"/>
        </w:rPr>
        <w:t xml:space="preserve">ăng cường công tác phối hợp với các phòng ban liên quan để kiểm tra, xử lý các hành vi vi phạm nghĩa vụ nộp ngân sách của các đối tượng thuộc phạm vi quản lý. </w:t>
      </w:r>
    </w:p>
    <w:p w14:paraId="1A228427" w14:textId="77777777" w:rsidR="00993A73" w:rsidRPr="00437F74" w:rsidRDefault="00180399" w:rsidP="003E3199">
      <w:pPr>
        <w:spacing w:before="60" w:after="60"/>
        <w:ind w:firstLine="567"/>
        <w:jc w:val="both"/>
        <w:rPr>
          <w:sz w:val="28"/>
          <w:szCs w:val="28"/>
          <w:lang w:val="it-IT"/>
        </w:rPr>
      </w:pPr>
      <w:r w:rsidRPr="00437F74">
        <w:rPr>
          <w:sz w:val="28"/>
          <w:szCs w:val="28"/>
          <w:lang w:val="it-IT"/>
        </w:rPr>
        <w:t xml:space="preserve">- </w:t>
      </w:r>
      <w:r w:rsidR="00507838" w:rsidRPr="00437F74">
        <w:rPr>
          <w:sz w:val="28"/>
          <w:szCs w:val="28"/>
          <w:lang w:val="it-IT"/>
        </w:rPr>
        <w:t>Thường xuyên đẩy mạnh công tác tuyên truyền - hỗ trợ các chính sách thuế cho đối tượng nộp thuế, nhất là những chính sách</w:t>
      </w:r>
      <w:r w:rsidR="00AE028D" w:rsidRPr="00437F74">
        <w:rPr>
          <w:sz w:val="28"/>
          <w:szCs w:val="28"/>
          <w:lang w:val="it-IT"/>
        </w:rPr>
        <w:t xml:space="preserve"> thuế mới được sửa đổi bổ sung </w:t>
      </w:r>
      <w:r w:rsidR="00507838" w:rsidRPr="00437F74">
        <w:rPr>
          <w:sz w:val="28"/>
          <w:szCs w:val="28"/>
          <w:lang w:val="it-IT"/>
        </w:rPr>
        <w:t>để nâng cao hơn nữa ý thức chấp hành nghĩa vụ của người nộp thuế.</w:t>
      </w:r>
      <w:r w:rsidR="005407E8" w:rsidRPr="00437F74">
        <w:rPr>
          <w:sz w:val="28"/>
          <w:szCs w:val="28"/>
          <w:lang w:val="it-IT"/>
        </w:rPr>
        <w:t xml:space="preserve"> Thực hiện </w:t>
      </w:r>
      <w:r w:rsidR="005407E8" w:rsidRPr="00437F74">
        <w:rPr>
          <w:sz w:val="28"/>
          <w:szCs w:val="28"/>
          <w:lang w:val="it-IT"/>
        </w:rPr>
        <w:lastRenderedPageBreak/>
        <w:t>các cơ chế khuyến khích phát triển nguồn thu, tạo điều kiện cho các xã, thị trấn tích cực trong việc thực hiện điều hành và cân đối ngân sách.</w:t>
      </w:r>
    </w:p>
    <w:p w14:paraId="39347A06" w14:textId="77777777" w:rsidR="005407E8" w:rsidRPr="00437F74" w:rsidRDefault="00365475" w:rsidP="003E3199">
      <w:pPr>
        <w:spacing w:before="60" w:after="60"/>
        <w:ind w:firstLine="567"/>
        <w:jc w:val="both"/>
        <w:rPr>
          <w:b/>
          <w:sz w:val="28"/>
          <w:szCs w:val="28"/>
          <w:lang w:val="it-IT"/>
        </w:rPr>
      </w:pPr>
      <w:r w:rsidRPr="00437F74">
        <w:rPr>
          <w:b/>
          <w:sz w:val="28"/>
          <w:szCs w:val="28"/>
          <w:lang w:val="it-IT"/>
        </w:rPr>
        <w:t>2.</w:t>
      </w:r>
      <w:r w:rsidR="005407E8" w:rsidRPr="00437F74">
        <w:rPr>
          <w:b/>
          <w:sz w:val="28"/>
          <w:szCs w:val="28"/>
          <w:lang w:val="it-IT"/>
        </w:rPr>
        <w:t xml:space="preserve"> Về chi ngân sách:</w:t>
      </w:r>
    </w:p>
    <w:p w14:paraId="2D3A1850" w14:textId="77777777" w:rsidR="00180399" w:rsidRPr="00437F74" w:rsidRDefault="00180399" w:rsidP="003E3199">
      <w:pPr>
        <w:spacing w:after="60"/>
        <w:ind w:firstLine="567"/>
        <w:jc w:val="both"/>
        <w:rPr>
          <w:spacing w:val="-4"/>
          <w:sz w:val="28"/>
          <w:szCs w:val="28"/>
          <w:lang w:val="it-IT"/>
        </w:rPr>
      </w:pPr>
      <w:r w:rsidRPr="00437F74">
        <w:rPr>
          <w:sz w:val="28"/>
          <w:szCs w:val="28"/>
          <w:lang w:val="it-IT"/>
        </w:rPr>
        <w:t xml:space="preserve">- </w:t>
      </w:r>
      <w:r w:rsidR="00010AA5" w:rsidRPr="00437F74">
        <w:rPr>
          <w:spacing w:val="-4"/>
          <w:sz w:val="28"/>
          <w:szCs w:val="28"/>
          <w:lang w:val="it-IT"/>
        </w:rPr>
        <w:t xml:space="preserve">Thực hiện nhiệm vụ chi ngân sách Nhà nước theo hướng tiết kiệm, chống lãng phí; </w:t>
      </w:r>
      <w:r w:rsidR="00CF251E" w:rsidRPr="00437F74">
        <w:rPr>
          <w:spacing w:val="-4"/>
          <w:sz w:val="28"/>
          <w:szCs w:val="28"/>
          <w:lang w:val="it-IT"/>
        </w:rPr>
        <w:t>hạn chế</w:t>
      </w:r>
      <w:r w:rsidR="00010AA5" w:rsidRPr="00437F74">
        <w:rPr>
          <w:spacing w:val="-4"/>
          <w:sz w:val="28"/>
          <w:szCs w:val="28"/>
          <w:lang w:val="it-IT"/>
        </w:rPr>
        <w:t xml:space="preserve"> các khoản mục chi chưa cần thiết, thực hiện các nhiệm vụ chi ưu tiên theo mức độ cấp thiết; nâng cao hiệu quả từng khoản mục chi. Từng bước cơ cấu lại chi ngân sách địa phương theo hướng tăng hợp lý tỷ trọng chi đầu tư, giảm dần tỷ trọng chi thường xuyên gắn với đổi mới mạnh mẽ khu vực sự nghiệp công lập theo cơ chế tự chủ và tinh giản bộ máy, biên chế. </w:t>
      </w:r>
    </w:p>
    <w:p w14:paraId="28C390A0" w14:textId="77777777" w:rsidR="00010AA5" w:rsidRPr="00437F74" w:rsidRDefault="00180399" w:rsidP="003E3199">
      <w:pPr>
        <w:spacing w:after="60"/>
        <w:ind w:firstLine="567"/>
        <w:jc w:val="both"/>
        <w:rPr>
          <w:spacing w:val="-4"/>
          <w:sz w:val="28"/>
          <w:szCs w:val="28"/>
          <w:lang w:val="it-IT"/>
        </w:rPr>
      </w:pPr>
      <w:r w:rsidRPr="00437F74">
        <w:rPr>
          <w:spacing w:val="-4"/>
          <w:sz w:val="28"/>
          <w:szCs w:val="28"/>
          <w:lang w:val="it-IT"/>
        </w:rPr>
        <w:t xml:space="preserve">- </w:t>
      </w:r>
      <w:r w:rsidR="00010AA5" w:rsidRPr="00437F74">
        <w:rPr>
          <w:spacing w:val="-4"/>
          <w:sz w:val="28"/>
          <w:szCs w:val="28"/>
          <w:lang w:val="it-IT"/>
        </w:rPr>
        <w:t xml:space="preserve">Rà soát các chính sách xã hội, an sinh xã hội để đảm bảo sử dụng ngân sách tập trung có hiệu quả cao; đẩy mạnh thực hiện khoán chi và đưa vào thu nhập một số chính sách, chế độ theo tiêu chuẩn, định mức chi. Nâng cao hiệu quả chi ngân sách, từng bước triển khai quản lý chi ngân sách theo kết quả thực hiện nhiệm vụ gắn với thực hiện các mục tiêu phát triển kinh tế - xã hội. </w:t>
      </w:r>
    </w:p>
    <w:p w14:paraId="7190229D" w14:textId="77777777" w:rsidR="006925AF" w:rsidRPr="00437F74" w:rsidRDefault="00180399" w:rsidP="003E3199">
      <w:pPr>
        <w:spacing w:before="60" w:after="60"/>
        <w:ind w:firstLine="567"/>
        <w:jc w:val="both"/>
        <w:rPr>
          <w:sz w:val="28"/>
          <w:szCs w:val="28"/>
          <w:lang w:val="it-IT"/>
        </w:rPr>
      </w:pPr>
      <w:r w:rsidRPr="00437F74">
        <w:rPr>
          <w:sz w:val="28"/>
          <w:szCs w:val="28"/>
          <w:lang w:val="it-IT"/>
        </w:rPr>
        <w:t xml:space="preserve">- </w:t>
      </w:r>
      <w:r w:rsidR="006925AF" w:rsidRPr="00437F74">
        <w:rPr>
          <w:sz w:val="28"/>
          <w:szCs w:val="28"/>
          <w:lang w:val="it-IT"/>
        </w:rPr>
        <w:t xml:space="preserve">Thường xuyên tổ chức, kiểm tra, đánh giá tiến độ thực hiện các dự án, công trình theo kế hoạch. Tiếp tục chấn chỉnh công tác quản lý đầu tư xây dựng, tăng cường công tác thanh tra nhằm bảo đảm chất lượng của công trình, ngăn chặn có hiệu quả tình trạng tham ô, lãng phí trong đầu tư xây dựng, tuyệt đối không khởi công </w:t>
      </w:r>
      <w:r w:rsidR="00774DDE" w:rsidRPr="00437F74">
        <w:rPr>
          <w:sz w:val="28"/>
          <w:szCs w:val="28"/>
          <w:lang w:val="it-IT"/>
        </w:rPr>
        <w:t xml:space="preserve">xây dựng </w:t>
      </w:r>
      <w:r w:rsidR="006925AF" w:rsidRPr="00437F74">
        <w:rPr>
          <w:sz w:val="28"/>
          <w:szCs w:val="28"/>
          <w:lang w:val="it-IT"/>
        </w:rPr>
        <w:t>các công trình chưa bố trí vốn, chưa hoàn chỉnh các hồ sơ thủ tục xây dựng theo qui định. Bảo đảm tính công khai, minh bạch, công bằng trong việc phân bổ vốn đầu tư phát triển.</w:t>
      </w:r>
    </w:p>
    <w:p w14:paraId="418CCEBB" w14:textId="77777777" w:rsidR="00BE5599" w:rsidRPr="00437F74" w:rsidRDefault="00180399" w:rsidP="003E3199">
      <w:pPr>
        <w:spacing w:before="60" w:after="60"/>
        <w:ind w:firstLine="567"/>
        <w:jc w:val="both"/>
        <w:rPr>
          <w:sz w:val="28"/>
          <w:szCs w:val="28"/>
          <w:lang w:val="it-IT"/>
        </w:rPr>
      </w:pPr>
      <w:r w:rsidRPr="00437F74">
        <w:rPr>
          <w:sz w:val="28"/>
          <w:szCs w:val="28"/>
          <w:lang w:val="it-IT"/>
        </w:rPr>
        <w:t xml:space="preserve">- </w:t>
      </w:r>
      <w:r w:rsidR="005407E8" w:rsidRPr="00437F74">
        <w:rPr>
          <w:sz w:val="28"/>
          <w:szCs w:val="28"/>
          <w:lang w:val="it-IT"/>
        </w:rPr>
        <w:t>Thực hiện Luật Tiết kiệm, chống lãng phí trong chi hành chính và chi đầu tư xây dựng; các đơn vị sử dụng ngân sách nhà nước cần thực hiện nghiêm chế độ khoán chi theo định mức; công khai kinh phí được giao theo quy chế dân chủ; chủ động điều hành chi theo dự toán một cách tiết kiệm có hiệu quả.</w:t>
      </w:r>
    </w:p>
    <w:p w14:paraId="51E3B2C6" w14:textId="77777777" w:rsidR="006925AF" w:rsidRPr="00437F74" w:rsidRDefault="00180399" w:rsidP="003E3199">
      <w:pPr>
        <w:spacing w:before="60" w:after="60"/>
        <w:ind w:firstLine="567"/>
        <w:jc w:val="both"/>
        <w:rPr>
          <w:sz w:val="28"/>
          <w:szCs w:val="28"/>
          <w:lang w:val="it-IT"/>
        </w:rPr>
      </w:pPr>
      <w:r w:rsidRPr="00437F74">
        <w:rPr>
          <w:sz w:val="28"/>
          <w:szCs w:val="28"/>
          <w:lang w:val="it-IT"/>
        </w:rPr>
        <w:t xml:space="preserve">- </w:t>
      </w:r>
      <w:r w:rsidR="006925AF" w:rsidRPr="00437F74">
        <w:rPr>
          <w:sz w:val="28"/>
          <w:szCs w:val="28"/>
          <w:lang w:val="it-IT"/>
        </w:rPr>
        <w:t>Thực hiện đồng bộ và có hiệu quả các biện pháp phòng chống thiên tai, dịch bệnh, chủ động đối phó với các thiên tai dịch bệnh trên đ</w:t>
      </w:r>
      <w:r w:rsidR="00CF251E" w:rsidRPr="00437F74">
        <w:rPr>
          <w:sz w:val="28"/>
          <w:szCs w:val="28"/>
          <w:lang w:val="it-IT"/>
        </w:rPr>
        <w:t>ịa bàn</w:t>
      </w:r>
      <w:r w:rsidR="0065671F" w:rsidRPr="00437F74">
        <w:rPr>
          <w:sz w:val="28"/>
          <w:szCs w:val="28"/>
          <w:lang w:val="it-IT"/>
        </w:rPr>
        <w:t>.</w:t>
      </w:r>
    </w:p>
    <w:p w14:paraId="274E43C7" w14:textId="77777777" w:rsidR="002817B4" w:rsidRPr="00437F74" w:rsidRDefault="00180399" w:rsidP="003E3199">
      <w:pPr>
        <w:spacing w:before="60" w:after="60"/>
        <w:ind w:firstLine="567"/>
        <w:jc w:val="both"/>
        <w:rPr>
          <w:sz w:val="28"/>
          <w:szCs w:val="28"/>
          <w:lang w:val="it-IT"/>
        </w:rPr>
      </w:pPr>
      <w:r w:rsidRPr="00437F74">
        <w:rPr>
          <w:sz w:val="28"/>
          <w:szCs w:val="28"/>
          <w:lang w:val="it-IT"/>
        </w:rPr>
        <w:t xml:space="preserve">- </w:t>
      </w:r>
      <w:r w:rsidR="005407E8" w:rsidRPr="00437F74">
        <w:rPr>
          <w:sz w:val="28"/>
          <w:szCs w:val="28"/>
          <w:lang w:val="it-IT"/>
        </w:rPr>
        <w:t>Tăng cường công tác kiểm tra của cơ quan Tài chính,</w:t>
      </w:r>
      <w:r w:rsidR="00A66282" w:rsidRPr="00437F74">
        <w:rPr>
          <w:sz w:val="28"/>
          <w:szCs w:val="28"/>
          <w:lang w:val="it-IT"/>
        </w:rPr>
        <w:t xml:space="preserve"> Giáo dục,</w:t>
      </w:r>
      <w:r w:rsidR="005407E8" w:rsidRPr="00437F74">
        <w:rPr>
          <w:sz w:val="28"/>
          <w:szCs w:val="28"/>
          <w:lang w:val="it-IT"/>
        </w:rPr>
        <w:t xml:space="preserve"> Kho bạc, Chi cục Thuế và các ngành có liên quan đối với các đơn vị được giao thu và sử dụng kinh phí từ ngân sách</w:t>
      </w:r>
      <w:r w:rsidR="0033115A" w:rsidRPr="00437F74">
        <w:rPr>
          <w:sz w:val="28"/>
          <w:szCs w:val="28"/>
          <w:lang w:val="it-IT"/>
        </w:rPr>
        <w:t xml:space="preserve"> Nhà nước</w:t>
      </w:r>
      <w:r w:rsidR="005407E8" w:rsidRPr="00437F74">
        <w:rPr>
          <w:sz w:val="28"/>
          <w:szCs w:val="28"/>
          <w:lang w:val="it-IT"/>
        </w:rPr>
        <w:t>. Khắc phục tình trạng thu, chi không đúng chế độ</w:t>
      </w:r>
      <w:r w:rsidR="002817B4" w:rsidRPr="00437F74">
        <w:rPr>
          <w:sz w:val="28"/>
          <w:szCs w:val="28"/>
          <w:lang w:val="it-IT"/>
        </w:rPr>
        <w:t>. Tập trung xử lý thu hồi nguồn vốn tạm ứng</w:t>
      </w:r>
      <w:r w:rsidR="00322151" w:rsidRPr="00437F74">
        <w:rPr>
          <w:sz w:val="28"/>
          <w:szCs w:val="28"/>
          <w:lang w:val="it-IT"/>
        </w:rPr>
        <w:t xml:space="preserve"> trả ngân sách huyện</w:t>
      </w:r>
      <w:r w:rsidR="003E7115" w:rsidRPr="00437F74">
        <w:rPr>
          <w:sz w:val="28"/>
          <w:szCs w:val="28"/>
          <w:lang w:val="it-IT"/>
        </w:rPr>
        <w:t xml:space="preserve">. </w:t>
      </w:r>
    </w:p>
    <w:p w14:paraId="008AE7B6" w14:textId="77777777" w:rsidR="00AA1347" w:rsidRPr="00437F74" w:rsidRDefault="00180399" w:rsidP="003E3199">
      <w:pPr>
        <w:spacing w:after="60"/>
        <w:ind w:firstLine="567"/>
        <w:jc w:val="both"/>
        <w:rPr>
          <w:sz w:val="28"/>
          <w:szCs w:val="28"/>
          <w:lang w:val="it-IT"/>
        </w:rPr>
      </w:pPr>
      <w:r w:rsidRPr="00437F74">
        <w:rPr>
          <w:sz w:val="28"/>
          <w:szCs w:val="28"/>
          <w:lang w:val="it-IT"/>
        </w:rPr>
        <w:t xml:space="preserve">- </w:t>
      </w:r>
      <w:r w:rsidR="00993A73" w:rsidRPr="00437F74">
        <w:rPr>
          <w:sz w:val="28"/>
          <w:szCs w:val="28"/>
          <w:lang w:val="it-IT"/>
        </w:rPr>
        <w:t>T</w:t>
      </w:r>
      <w:r w:rsidR="007E439E" w:rsidRPr="00437F74">
        <w:rPr>
          <w:sz w:val="28"/>
          <w:szCs w:val="28"/>
          <w:lang w:val="it-IT"/>
        </w:rPr>
        <w:t>rên cơ sở d</w:t>
      </w:r>
      <w:r w:rsidR="00774DDE" w:rsidRPr="00437F74">
        <w:rPr>
          <w:sz w:val="28"/>
          <w:szCs w:val="28"/>
          <w:lang w:val="it-IT"/>
        </w:rPr>
        <w:t xml:space="preserve">ự toán chi ngân sách được phân </w:t>
      </w:r>
      <w:r w:rsidR="007E439E" w:rsidRPr="00437F74">
        <w:rPr>
          <w:sz w:val="28"/>
          <w:szCs w:val="28"/>
          <w:lang w:val="it-IT"/>
        </w:rPr>
        <w:t>bổ</w:t>
      </w:r>
      <w:r w:rsidR="00AA1347" w:rsidRPr="00437F74">
        <w:rPr>
          <w:sz w:val="28"/>
          <w:szCs w:val="28"/>
          <w:lang w:val="it-IT"/>
        </w:rPr>
        <w:t xml:space="preserve"> các đơn vị sử dụng </w:t>
      </w:r>
      <w:r w:rsidR="008254BA" w:rsidRPr="00437F74">
        <w:rPr>
          <w:sz w:val="28"/>
          <w:szCs w:val="28"/>
          <w:lang w:val="it-IT"/>
        </w:rPr>
        <w:t>ngân sách nhà nước</w:t>
      </w:r>
      <w:r w:rsidR="0027030C" w:rsidRPr="00437F74">
        <w:rPr>
          <w:sz w:val="28"/>
          <w:szCs w:val="28"/>
          <w:lang w:val="it-IT"/>
        </w:rPr>
        <w:t>,</w:t>
      </w:r>
      <w:r w:rsidR="00AA1347" w:rsidRPr="00437F74">
        <w:rPr>
          <w:sz w:val="28"/>
          <w:szCs w:val="28"/>
          <w:lang w:val="it-IT"/>
        </w:rPr>
        <w:t xml:space="preserve"> căn cứ vào các nhiệm vụ được giao xây dựng quy chế chi tiêu nội bộ, quy chế sử dụng tài sản, chủ động sắp xếp, bố trí nhiệm vụ chi hợp lý, thực hiện nghiêm chủ trương tiết kiệm chi tiêu, chống lãng phí,</w:t>
      </w:r>
      <w:r w:rsidR="0027030C" w:rsidRPr="00437F74">
        <w:rPr>
          <w:sz w:val="28"/>
          <w:szCs w:val="28"/>
          <w:lang w:val="it-IT"/>
        </w:rPr>
        <w:t xml:space="preserve"> cắt giảm các khoản chi chưa cần</w:t>
      </w:r>
      <w:r w:rsidR="00AA1347" w:rsidRPr="00437F74">
        <w:rPr>
          <w:sz w:val="28"/>
          <w:szCs w:val="28"/>
          <w:lang w:val="it-IT"/>
        </w:rPr>
        <w:t xml:space="preserve"> thiết, giảm tối đa các hội nghị, tổ chức lễ hội không thực sự </w:t>
      </w:r>
      <w:r w:rsidR="00774DDE" w:rsidRPr="00437F74">
        <w:rPr>
          <w:sz w:val="28"/>
          <w:szCs w:val="28"/>
          <w:lang w:val="it-IT"/>
        </w:rPr>
        <w:t>cần thiết</w:t>
      </w:r>
      <w:r w:rsidR="00AA1347" w:rsidRPr="00437F74">
        <w:rPr>
          <w:sz w:val="28"/>
          <w:szCs w:val="28"/>
          <w:lang w:val="it-IT"/>
        </w:rPr>
        <w:t>, đảm bảo sử dụng ngân sách, tài sản tiết kiệm, hiệu quả góp ph</w:t>
      </w:r>
      <w:r w:rsidR="00370D50" w:rsidRPr="00437F74">
        <w:rPr>
          <w:sz w:val="28"/>
          <w:szCs w:val="28"/>
          <w:lang w:val="it-IT"/>
        </w:rPr>
        <w:t>ầ</w:t>
      </w:r>
      <w:r w:rsidR="00AA1347" w:rsidRPr="00437F74">
        <w:rPr>
          <w:sz w:val="28"/>
          <w:szCs w:val="28"/>
          <w:lang w:val="it-IT"/>
        </w:rPr>
        <w:t>n hoàn thành nhiệm vụ chính trị của đơn vị.</w:t>
      </w:r>
      <w:r w:rsidR="00CE3C3A" w:rsidRPr="00437F74">
        <w:rPr>
          <w:sz w:val="28"/>
          <w:szCs w:val="28"/>
          <w:lang w:val="it-IT"/>
        </w:rPr>
        <w:t xml:space="preserve"> Thực hiện tốt các chính sách an sinh xã hội nhằm hỗ trợ thiết thực cho</w:t>
      </w:r>
      <w:r w:rsidR="00774DDE" w:rsidRPr="00437F74">
        <w:rPr>
          <w:sz w:val="28"/>
          <w:szCs w:val="28"/>
          <w:lang w:val="it-IT"/>
        </w:rPr>
        <w:t xml:space="preserve"> các đối tượng chính sách</w:t>
      </w:r>
      <w:r w:rsidR="00CE3C3A" w:rsidRPr="00437F74">
        <w:rPr>
          <w:sz w:val="28"/>
          <w:szCs w:val="28"/>
          <w:lang w:val="it-IT"/>
        </w:rPr>
        <w:t xml:space="preserve">, người nghèo, người có hoàn cảnh khó khăn. </w:t>
      </w:r>
    </w:p>
    <w:p w14:paraId="6BE7F05B" w14:textId="77777777" w:rsidR="007F1BAF" w:rsidRPr="007F1BAF" w:rsidRDefault="007F1BAF" w:rsidP="007F1BAF">
      <w:pPr>
        <w:ind w:firstLine="720"/>
        <w:jc w:val="both"/>
        <w:rPr>
          <w:i/>
          <w:iCs/>
          <w:sz w:val="28"/>
          <w:szCs w:val="28"/>
          <w:lang w:val="nl-NL"/>
        </w:rPr>
      </w:pPr>
      <w:r w:rsidRPr="007F1BAF">
        <w:rPr>
          <w:i/>
          <w:iCs/>
          <w:sz w:val="28"/>
          <w:szCs w:val="28"/>
          <w:lang w:val="nl-NL"/>
        </w:rPr>
        <w:t>(</w:t>
      </w:r>
      <w:r>
        <w:rPr>
          <w:i/>
          <w:iCs/>
          <w:sz w:val="28"/>
          <w:szCs w:val="28"/>
          <w:lang w:val="nl-NL"/>
        </w:rPr>
        <w:t>Phương án trên được xây dựng trên</w:t>
      </w:r>
      <w:r w:rsidRPr="007F1BAF">
        <w:rPr>
          <w:i/>
          <w:iCs/>
          <w:sz w:val="28"/>
          <w:szCs w:val="28"/>
          <w:lang w:val="nl-NL"/>
        </w:rPr>
        <w:t xml:space="preserve"> cơ sở </w:t>
      </w:r>
      <w:r>
        <w:rPr>
          <w:i/>
          <w:iCs/>
          <w:sz w:val="28"/>
          <w:szCs w:val="28"/>
          <w:lang w:val="nl-NL"/>
        </w:rPr>
        <w:t xml:space="preserve">số liệu </w:t>
      </w:r>
      <w:r w:rsidRPr="007F1BAF">
        <w:rPr>
          <w:i/>
          <w:iCs/>
          <w:sz w:val="28"/>
          <w:szCs w:val="28"/>
          <w:lang w:val="nl-NL"/>
        </w:rPr>
        <w:t xml:space="preserve">thảo luận dự toán với Liên ngành: Sở Tài chính - Sở Kế hoạch đầu tư - Cục Thuế tỉnh Kon Tum. Sau khi có Quyết định giao dự toán chính thức của UBND tỉnh Kon Tum, UBND huyện </w:t>
      </w:r>
      <w:r w:rsidRPr="007F1BAF">
        <w:rPr>
          <w:i/>
          <w:iCs/>
          <w:sz w:val="28"/>
          <w:szCs w:val="28"/>
          <w:lang w:val="nl-NL"/>
        </w:rPr>
        <w:lastRenderedPageBreak/>
        <w:t>Đăk Hà sẽ điều chỉnh và phân khai chi tiết cho phù hợp và báo cáo T</w:t>
      </w:r>
      <w:r w:rsidR="002C5A93">
        <w:rPr>
          <w:i/>
          <w:iCs/>
          <w:sz w:val="28"/>
          <w:szCs w:val="28"/>
          <w:lang w:val="nl-NL"/>
        </w:rPr>
        <w:t>hương trực</w:t>
      </w:r>
      <w:r w:rsidRPr="007F1BAF">
        <w:rPr>
          <w:i/>
          <w:iCs/>
          <w:sz w:val="28"/>
          <w:szCs w:val="28"/>
          <w:lang w:val="nl-NL"/>
        </w:rPr>
        <w:t xml:space="preserve"> HĐND, </w:t>
      </w:r>
      <w:r w:rsidR="002C5A93">
        <w:rPr>
          <w:i/>
          <w:iCs/>
          <w:sz w:val="28"/>
          <w:szCs w:val="28"/>
          <w:lang w:val="nl-NL"/>
        </w:rPr>
        <w:t>Hội đồng nhân dân</w:t>
      </w:r>
      <w:r w:rsidRPr="007F1BAF">
        <w:rPr>
          <w:i/>
          <w:iCs/>
          <w:sz w:val="28"/>
          <w:szCs w:val="28"/>
          <w:lang w:val="nl-NL"/>
        </w:rPr>
        <w:t xml:space="preserve"> huyện xem xét quyết định)</w:t>
      </w:r>
    </w:p>
    <w:p w14:paraId="3BFCB897" w14:textId="77777777" w:rsidR="0065671F" w:rsidRPr="00437F74" w:rsidRDefault="0065671F" w:rsidP="00993A73">
      <w:pPr>
        <w:ind w:firstLine="567"/>
        <w:jc w:val="both"/>
        <w:rPr>
          <w:sz w:val="28"/>
          <w:szCs w:val="28"/>
          <w:lang w:val="it-IT"/>
        </w:rPr>
      </w:pPr>
    </w:p>
    <w:p w14:paraId="69423CAA" w14:textId="77777777" w:rsidR="00C338B8" w:rsidRPr="00437F74" w:rsidRDefault="00C338B8" w:rsidP="00993A73">
      <w:pPr>
        <w:ind w:firstLine="567"/>
        <w:jc w:val="both"/>
        <w:rPr>
          <w:sz w:val="28"/>
          <w:szCs w:val="28"/>
          <w:lang w:val="it-IT"/>
        </w:rPr>
      </w:pPr>
      <w:r w:rsidRPr="00437F74">
        <w:rPr>
          <w:sz w:val="28"/>
          <w:szCs w:val="28"/>
          <w:lang w:val="it-IT"/>
        </w:rPr>
        <w:t>Trê</w:t>
      </w:r>
      <w:r w:rsidR="00AD42FF" w:rsidRPr="00437F74">
        <w:rPr>
          <w:sz w:val="28"/>
          <w:szCs w:val="28"/>
          <w:lang w:val="it-IT"/>
        </w:rPr>
        <w:t xml:space="preserve">n đây là phương án phân bổ dự toán thu, chi </w:t>
      </w:r>
      <w:r w:rsidR="00BB12C2" w:rsidRPr="00437F74">
        <w:rPr>
          <w:sz w:val="28"/>
          <w:szCs w:val="28"/>
          <w:lang w:val="it-IT"/>
        </w:rPr>
        <w:t>ngân sách huyện</w:t>
      </w:r>
      <w:r w:rsidRPr="00437F74">
        <w:rPr>
          <w:sz w:val="28"/>
          <w:szCs w:val="28"/>
          <w:lang w:val="it-IT"/>
        </w:rPr>
        <w:t>năm 20</w:t>
      </w:r>
      <w:r w:rsidR="00A66282" w:rsidRPr="00437F74">
        <w:rPr>
          <w:sz w:val="28"/>
          <w:szCs w:val="28"/>
          <w:lang w:val="it-IT"/>
        </w:rPr>
        <w:t>2</w:t>
      </w:r>
      <w:r w:rsidR="00D866CA" w:rsidRPr="00437F74">
        <w:rPr>
          <w:sz w:val="28"/>
          <w:szCs w:val="28"/>
          <w:lang w:val="it-IT"/>
        </w:rPr>
        <w:t>4</w:t>
      </w:r>
      <w:r w:rsidR="00AF79DB" w:rsidRPr="00437F74">
        <w:rPr>
          <w:sz w:val="28"/>
          <w:szCs w:val="28"/>
          <w:lang w:val="it-IT"/>
        </w:rPr>
        <w:t xml:space="preserve"> của</w:t>
      </w:r>
      <w:r w:rsidRPr="00437F74">
        <w:rPr>
          <w:sz w:val="28"/>
          <w:szCs w:val="28"/>
          <w:lang w:val="it-IT"/>
        </w:rPr>
        <w:t xml:space="preserve"> Ủy b</w:t>
      </w:r>
      <w:r w:rsidR="007D4F0B" w:rsidRPr="00437F74">
        <w:rPr>
          <w:sz w:val="28"/>
          <w:szCs w:val="28"/>
          <w:lang w:val="it-IT"/>
        </w:rPr>
        <w:t>an nhân dân huyện</w:t>
      </w:r>
      <w:r w:rsidR="00CE3C3A" w:rsidRPr="00437F74">
        <w:rPr>
          <w:sz w:val="28"/>
          <w:szCs w:val="28"/>
          <w:lang w:val="it-IT"/>
        </w:rPr>
        <w:t xml:space="preserve"> Đăk</w:t>
      </w:r>
      <w:r w:rsidR="001B68B6" w:rsidRPr="00437F74">
        <w:rPr>
          <w:sz w:val="28"/>
          <w:szCs w:val="28"/>
          <w:lang w:val="it-IT"/>
        </w:rPr>
        <w:t>Hà</w:t>
      </w:r>
      <w:r w:rsidRPr="00437F74">
        <w:rPr>
          <w:sz w:val="28"/>
          <w:szCs w:val="28"/>
          <w:lang w:val="it-IT"/>
        </w:rPr>
        <w:t>.</w:t>
      </w:r>
      <w:r w:rsidR="00180399" w:rsidRPr="00437F74">
        <w:rPr>
          <w:sz w:val="28"/>
          <w:szCs w:val="28"/>
          <w:lang w:val="it-IT"/>
        </w:rPr>
        <w:t>/.</w:t>
      </w:r>
    </w:p>
    <w:p w14:paraId="2D1E2E5C" w14:textId="77777777" w:rsidR="004F15D2" w:rsidRPr="00437F74" w:rsidRDefault="004F15D2" w:rsidP="00632FDF">
      <w:pPr>
        <w:spacing w:before="60" w:after="60"/>
        <w:ind w:firstLine="567"/>
        <w:jc w:val="both"/>
        <w:rPr>
          <w:sz w:val="28"/>
          <w:szCs w:val="28"/>
          <w:lang w:val="it-IT"/>
        </w:rPr>
      </w:pPr>
    </w:p>
    <w:tbl>
      <w:tblPr>
        <w:tblW w:w="0" w:type="auto"/>
        <w:tblLook w:val="04A0" w:firstRow="1" w:lastRow="0" w:firstColumn="1" w:lastColumn="0" w:noHBand="0" w:noVBand="1"/>
      </w:tblPr>
      <w:tblGrid>
        <w:gridCol w:w="4644"/>
        <w:gridCol w:w="4644"/>
      </w:tblGrid>
      <w:tr w:rsidR="00ED05A7" w:rsidRPr="00437F74" w14:paraId="39FD8A73" w14:textId="77777777" w:rsidTr="003A6CD6">
        <w:tc>
          <w:tcPr>
            <w:tcW w:w="4644" w:type="dxa"/>
          </w:tcPr>
          <w:p w14:paraId="79E548C6" w14:textId="77777777" w:rsidR="00105213" w:rsidRPr="00437F74" w:rsidRDefault="00105213" w:rsidP="003A6CD6">
            <w:pPr>
              <w:pStyle w:val="BodyText"/>
              <w:tabs>
                <w:tab w:val="left" w:pos="0"/>
              </w:tabs>
              <w:rPr>
                <w:rFonts w:ascii="Times New Roman" w:hAnsi="Times New Roman"/>
                <w:b/>
                <w:szCs w:val="28"/>
                <w:lang w:val="pt-BR"/>
              </w:rPr>
            </w:pPr>
            <w:r w:rsidRPr="00437F74">
              <w:rPr>
                <w:rFonts w:ascii="Times New Roman" w:hAnsi="Times New Roman"/>
                <w:b/>
                <w:i/>
                <w:sz w:val="22"/>
                <w:szCs w:val="22"/>
                <w:lang w:val="pt-BR"/>
              </w:rPr>
              <w:t>Nơi nhận:</w:t>
            </w:r>
            <w:r w:rsidRPr="00437F74">
              <w:rPr>
                <w:rFonts w:ascii="Times New Roman" w:hAnsi="Times New Roman"/>
                <w:b/>
                <w:szCs w:val="28"/>
                <w:lang w:val="pt-BR"/>
              </w:rPr>
              <w:tab/>
            </w:r>
          </w:p>
          <w:p w14:paraId="6C25CD76" w14:textId="77777777" w:rsidR="00105213" w:rsidRPr="00437F74" w:rsidRDefault="00105213" w:rsidP="003A6CD6">
            <w:pPr>
              <w:pStyle w:val="BodyText"/>
              <w:tabs>
                <w:tab w:val="left" w:pos="0"/>
              </w:tabs>
              <w:rPr>
                <w:rFonts w:ascii="Times New Roman" w:hAnsi="Times New Roman"/>
                <w:b/>
                <w:szCs w:val="28"/>
                <w:lang w:val="pt-BR"/>
              </w:rPr>
            </w:pPr>
            <w:r w:rsidRPr="00437F74">
              <w:rPr>
                <w:rFonts w:ascii="Times New Roman" w:hAnsi="Times New Roman"/>
                <w:sz w:val="22"/>
                <w:szCs w:val="22"/>
                <w:lang w:val="pt-BR"/>
              </w:rPr>
              <w:t>-</w:t>
            </w:r>
            <w:r w:rsidR="00392B8C" w:rsidRPr="00437F74">
              <w:rPr>
                <w:rFonts w:ascii="Times New Roman" w:hAnsi="Times New Roman"/>
                <w:sz w:val="22"/>
                <w:szCs w:val="22"/>
                <w:lang w:val="pt-BR"/>
              </w:rPr>
              <w:t xml:space="preserve"> TT</w:t>
            </w:r>
            <w:r w:rsidR="00F92A54" w:rsidRPr="00437F74">
              <w:rPr>
                <w:rFonts w:ascii="Times New Roman" w:hAnsi="Times New Roman"/>
                <w:sz w:val="22"/>
                <w:szCs w:val="22"/>
                <w:lang w:val="pt-BR"/>
              </w:rPr>
              <w:t>HĐND huyện</w:t>
            </w:r>
            <w:r w:rsidR="008254BA" w:rsidRPr="00437F74">
              <w:rPr>
                <w:rFonts w:ascii="Times New Roman" w:hAnsi="Times New Roman"/>
                <w:sz w:val="22"/>
                <w:szCs w:val="22"/>
                <w:lang w:val="pt-BR"/>
              </w:rPr>
              <w:t xml:space="preserve"> (t</w:t>
            </w:r>
            <w:r w:rsidRPr="00437F74">
              <w:rPr>
                <w:rFonts w:ascii="Times New Roman" w:hAnsi="Times New Roman"/>
                <w:sz w:val="22"/>
                <w:szCs w:val="22"/>
                <w:lang w:val="pt-BR"/>
              </w:rPr>
              <w:t>rình);</w:t>
            </w:r>
            <w:r w:rsidRPr="00437F74">
              <w:rPr>
                <w:rFonts w:ascii="Times New Roman" w:hAnsi="Times New Roman"/>
                <w:sz w:val="22"/>
                <w:szCs w:val="22"/>
                <w:lang w:val="pt-BR"/>
              </w:rPr>
              <w:tab/>
            </w:r>
            <w:r w:rsidRPr="00437F74">
              <w:rPr>
                <w:rFonts w:ascii="Times New Roman" w:hAnsi="Times New Roman"/>
                <w:b/>
                <w:szCs w:val="28"/>
                <w:lang w:val="pt-BR"/>
              </w:rPr>
              <w:tab/>
            </w:r>
          </w:p>
          <w:p w14:paraId="014819B0" w14:textId="77777777" w:rsidR="00F92A54" w:rsidRPr="00437F74" w:rsidRDefault="00F92A54" w:rsidP="003A6CD6">
            <w:pPr>
              <w:pStyle w:val="BodyText"/>
              <w:tabs>
                <w:tab w:val="left" w:pos="0"/>
              </w:tabs>
              <w:rPr>
                <w:rFonts w:ascii="Times New Roman" w:hAnsi="Times New Roman"/>
                <w:sz w:val="22"/>
                <w:szCs w:val="22"/>
                <w:lang w:val="pt-BR"/>
              </w:rPr>
            </w:pPr>
            <w:r w:rsidRPr="00437F74">
              <w:rPr>
                <w:rFonts w:ascii="Times New Roman" w:hAnsi="Times New Roman"/>
                <w:sz w:val="22"/>
                <w:szCs w:val="22"/>
                <w:lang w:val="pt-BR"/>
              </w:rPr>
              <w:t>- TT Huyện uỷ;</w:t>
            </w:r>
          </w:p>
          <w:p w14:paraId="460E251E" w14:textId="77777777" w:rsidR="00105213" w:rsidRPr="00437F74" w:rsidRDefault="00105213" w:rsidP="003A6CD6">
            <w:pPr>
              <w:pStyle w:val="BodyText"/>
              <w:tabs>
                <w:tab w:val="left" w:pos="0"/>
              </w:tabs>
              <w:rPr>
                <w:rFonts w:ascii="Times New Roman" w:hAnsi="Times New Roman"/>
                <w:sz w:val="22"/>
                <w:szCs w:val="22"/>
                <w:lang w:val="pt-BR"/>
              </w:rPr>
            </w:pPr>
            <w:r w:rsidRPr="00437F74">
              <w:rPr>
                <w:rFonts w:ascii="Times New Roman" w:hAnsi="Times New Roman"/>
                <w:sz w:val="22"/>
                <w:szCs w:val="22"/>
                <w:lang w:val="pt-BR"/>
              </w:rPr>
              <w:t xml:space="preserve">- </w:t>
            </w:r>
            <w:r w:rsidR="00F92A54" w:rsidRPr="00437F74">
              <w:rPr>
                <w:rFonts w:ascii="Times New Roman" w:hAnsi="Times New Roman"/>
                <w:sz w:val="22"/>
                <w:szCs w:val="22"/>
                <w:lang w:val="pt-BR"/>
              </w:rPr>
              <w:t>Các Ban của</w:t>
            </w:r>
            <w:r w:rsidRPr="00437F74">
              <w:rPr>
                <w:rFonts w:ascii="Times New Roman" w:hAnsi="Times New Roman"/>
                <w:sz w:val="22"/>
                <w:szCs w:val="22"/>
                <w:lang w:val="pt-BR"/>
              </w:rPr>
              <w:t xml:space="preserve"> HĐND huyện;                                                                    </w:t>
            </w:r>
          </w:p>
          <w:p w14:paraId="27B2C1DF" w14:textId="77777777" w:rsidR="00105213" w:rsidRPr="00437F74" w:rsidRDefault="00105213" w:rsidP="00105213">
            <w:pPr>
              <w:jc w:val="both"/>
              <w:rPr>
                <w:sz w:val="22"/>
                <w:szCs w:val="22"/>
                <w:lang w:val="it-IT"/>
              </w:rPr>
            </w:pPr>
            <w:r w:rsidRPr="00437F74">
              <w:rPr>
                <w:sz w:val="22"/>
                <w:szCs w:val="22"/>
                <w:lang w:val="it-IT"/>
              </w:rPr>
              <w:t>- CT, các PCT UBND huyện;</w:t>
            </w:r>
          </w:p>
          <w:p w14:paraId="0FC46261" w14:textId="77777777" w:rsidR="00F92A54" w:rsidRPr="00437F74" w:rsidRDefault="00F92A54" w:rsidP="00180399">
            <w:pPr>
              <w:ind w:left="720" w:hanging="720"/>
              <w:jc w:val="both"/>
              <w:rPr>
                <w:sz w:val="22"/>
                <w:szCs w:val="22"/>
                <w:lang w:val="pt-BR"/>
              </w:rPr>
            </w:pPr>
            <w:r w:rsidRPr="00437F74">
              <w:rPr>
                <w:sz w:val="22"/>
                <w:szCs w:val="22"/>
                <w:lang w:val="pt-BR"/>
              </w:rPr>
              <w:t xml:space="preserve">- </w:t>
            </w:r>
            <w:r w:rsidR="009315BF">
              <w:rPr>
                <w:sz w:val="22"/>
                <w:szCs w:val="22"/>
                <w:lang w:val="pt-BR"/>
              </w:rPr>
              <w:t>Ban Kinh tế - xã hội HĐND huyện</w:t>
            </w:r>
            <w:r w:rsidRPr="00437F74">
              <w:rPr>
                <w:sz w:val="22"/>
                <w:szCs w:val="22"/>
                <w:lang w:val="pt-BR"/>
              </w:rPr>
              <w:t>;</w:t>
            </w:r>
          </w:p>
          <w:p w14:paraId="7BFED8F5" w14:textId="77777777" w:rsidR="00105213" w:rsidRPr="00437F74" w:rsidRDefault="00105213" w:rsidP="00180399">
            <w:pPr>
              <w:ind w:left="720" w:hanging="720"/>
              <w:jc w:val="both"/>
              <w:rPr>
                <w:sz w:val="22"/>
                <w:szCs w:val="22"/>
                <w:lang w:val="pt-BR"/>
              </w:rPr>
            </w:pPr>
            <w:r w:rsidRPr="00437F74">
              <w:rPr>
                <w:sz w:val="22"/>
                <w:szCs w:val="22"/>
                <w:lang w:val="pt-BR"/>
              </w:rPr>
              <w:t>- Lưu: VT.</w:t>
            </w:r>
          </w:p>
        </w:tc>
        <w:tc>
          <w:tcPr>
            <w:tcW w:w="4644" w:type="dxa"/>
          </w:tcPr>
          <w:p w14:paraId="7AD63845" w14:textId="77777777" w:rsidR="00105213" w:rsidRPr="00437F74" w:rsidRDefault="00105213" w:rsidP="003A6CD6">
            <w:pPr>
              <w:jc w:val="center"/>
              <w:rPr>
                <w:b/>
                <w:sz w:val="28"/>
                <w:szCs w:val="28"/>
                <w:lang w:val="pt-BR"/>
              </w:rPr>
            </w:pPr>
            <w:r w:rsidRPr="00437F74">
              <w:rPr>
                <w:b/>
                <w:sz w:val="28"/>
                <w:szCs w:val="28"/>
                <w:lang w:val="pt-BR"/>
              </w:rPr>
              <w:t>TM. ỦY BAN NHÂN DÂN</w:t>
            </w:r>
          </w:p>
          <w:p w14:paraId="0739A648" w14:textId="77777777" w:rsidR="00105213" w:rsidRPr="00437F74" w:rsidRDefault="00105213" w:rsidP="003A6CD6">
            <w:pPr>
              <w:pStyle w:val="BodyText"/>
              <w:tabs>
                <w:tab w:val="left" w:pos="0"/>
              </w:tabs>
              <w:jc w:val="center"/>
              <w:rPr>
                <w:rFonts w:ascii="Times New Roman" w:hAnsi="Times New Roman"/>
                <w:b/>
                <w:szCs w:val="28"/>
                <w:lang w:val="pt-BR"/>
              </w:rPr>
            </w:pPr>
            <w:r w:rsidRPr="00437F74">
              <w:rPr>
                <w:rFonts w:ascii="Times New Roman" w:hAnsi="Times New Roman"/>
                <w:b/>
                <w:szCs w:val="28"/>
                <w:lang w:val="pt-BR"/>
              </w:rPr>
              <w:t>CHỦ TỊCH</w:t>
            </w:r>
          </w:p>
          <w:p w14:paraId="49ACCB55" w14:textId="77777777" w:rsidR="00105213" w:rsidRPr="00437F74" w:rsidRDefault="00105213" w:rsidP="00180399">
            <w:pPr>
              <w:pStyle w:val="BodyText"/>
              <w:tabs>
                <w:tab w:val="left" w:pos="0"/>
              </w:tabs>
              <w:rPr>
                <w:rFonts w:ascii="Times New Roman" w:hAnsi="Times New Roman"/>
                <w:b/>
                <w:szCs w:val="28"/>
                <w:lang w:val="pt-BR"/>
              </w:rPr>
            </w:pPr>
          </w:p>
          <w:p w14:paraId="0501580B" w14:textId="77777777" w:rsidR="00632FDF" w:rsidRPr="00437F74" w:rsidRDefault="00632FDF" w:rsidP="00180399">
            <w:pPr>
              <w:pStyle w:val="BodyText"/>
              <w:tabs>
                <w:tab w:val="left" w:pos="0"/>
              </w:tabs>
              <w:rPr>
                <w:rFonts w:ascii="Times New Roman" w:hAnsi="Times New Roman"/>
                <w:b/>
                <w:szCs w:val="28"/>
                <w:lang w:val="pt-BR"/>
              </w:rPr>
            </w:pPr>
          </w:p>
          <w:p w14:paraId="1F9B6182" w14:textId="77777777" w:rsidR="00CF251E" w:rsidRDefault="00CF251E" w:rsidP="00180399">
            <w:pPr>
              <w:pStyle w:val="BodyText"/>
              <w:tabs>
                <w:tab w:val="left" w:pos="0"/>
              </w:tabs>
              <w:rPr>
                <w:rFonts w:ascii="Times New Roman" w:hAnsi="Times New Roman"/>
                <w:b/>
                <w:szCs w:val="28"/>
                <w:lang w:val="pt-BR"/>
              </w:rPr>
            </w:pPr>
          </w:p>
          <w:p w14:paraId="26F884F4" w14:textId="77777777" w:rsidR="003032C4" w:rsidRDefault="003032C4" w:rsidP="00180399">
            <w:pPr>
              <w:pStyle w:val="BodyText"/>
              <w:tabs>
                <w:tab w:val="left" w:pos="0"/>
              </w:tabs>
              <w:rPr>
                <w:rFonts w:ascii="Times New Roman" w:hAnsi="Times New Roman"/>
                <w:b/>
                <w:szCs w:val="28"/>
                <w:lang w:val="pt-BR"/>
              </w:rPr>
            </w:pPr>
          </w:p>
          <w:p w14:paraId="27115E7B" w14:textId="77777777" w:rsidR="00ED05A7" w:rsidRPr="00437F74" w:rsidRDefault="00ED05A7" w:rsidP="00180399">
            <w:pPr>
              <w:pStyle w:val="BodyText"/>
              <w:tabs>
                <w:tab w:val="left" w:pos="0"/>
              </w:tabs>
              <w:rPr>
                <w:rFonts w:ascii="Times New Roman" w:hAnsi="Times New Roman"/>
                <w:b/>
                <w:sz w:val="12"/>
                <w:szCs w:val="12"/>
                <w:lang w:val="pt-BR"/>
              </w:rPr>
            </w:pPr>
          </w:p>
          <w:p w14:paraId="6062665B" w14:textId="77777777" w:rsidR="00105213" w:rsidRPr="00437F74" w:rsidRDefault="00105213" w:rsidP="00DD3ACE">
            <w:pPr>
              <w:pStyle w:val="BodyText"/>
              <w:tabs>
                <w:tab w:val="left" w:pos="0"/>
              </w:tabs>
              <w:jc w:val="center"/>
              <w:rPr>
                <w:rFonts w:ascii="Times New Roman" w:hAnsi="Times New Roman"/>
                <w:b/>
                <w:szCs w:val="28"/>
                <w:lang w:val="pt-BR"/>
              </w:rPr>
            </w:pPr>
            <w:r w:rsidRPr="00437F74">
              <w:rPr>
                <w:rFonts w:ascii="Times New Roman" w:hAnsi="Times New Roman"/>
                <w:b/>
                <w:szCs w:val="28"/>
                <w:lang w:val="pt-BR"/>
              </w:rPr>
              <w:t>Hà Tiến</w:t>
            </w:r>
          </w:p>
        </w:tc>
      </w:tr>
    </w:tbl>
    <w:p w14:paraId="4EB52C00" w14:textId="77777777" w:rsidR="00105213" w:rsidRPr="00437F74" w:rsidRDefault="00105213" w:rsidP="003E62EC">
      <w:pPr>
        <w:jc w:val="both"/>
        <w:rPr>
          <w:sz w:val="18"/>
          <w:szCs w:val="28"/>
          <w:lang w:val="it-IT"/>
        </w:rPr>
      </w:pPr>
    </w:p>
    <w:sectPr w:rsidR="00105213" w:rsidRPr="00437F74" w:rsidSect="00632FDF">
      <w:headerReference w:type="default" r:id="rId7"/>
      <w:footerReference w:type="even" r:id="rId8"/>
      <w:footerReference w:type="default" r:id="rId9"/>
      <w:pgSz w:w="11907" w:h="16840" w:code="9"/>
      <w:pgMar w:top="964" w:right="1021" w:bottom="964" w:left="1588"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A9A8" w14:textId="77777777" w:rsidR="00634533" w:rsidRDefault="00634533">
      <w:r>
        <w:separator/>
      </w:r>
    </w:p>
  </w:endnote>
  <w:endnote w:type="continuationSeparator" w:id="0">
    <w:p w14:paraId="0387A242" w14:textId="77777777" w:rsidR="00634533" w:rsidRDefault="0063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59FA" w14:textId="77777777" w:rsidR="00B21E38" w:rsidRDefault="00095D9B" w:rsidP="00B92AD8">
    <w:pPr>
      <w:pStyle w:val="Footer"/>
      <w:framePr w:wrap="around" w:vAnchor="text" w:hAnchor="margin" w:xAlign="center" w:y="1"/>
      <w:rPr>
        <w:rStyle w:val="PageNumber"/>
      </w:rPr>
    </w:pPr>
    <w:r>
      <w:rPr>
        <w:rStyle w:val="PageNumber"/>
      </w:rPr>
      <w:fldChar w:fldCharType="begin"/>
    </w:r>
    <w:r w:rsidR="00B21E38">
      <w:rPr>
        <w:rStyle w:val="PageNumber"/>
      </w:rPr>
      <w:instrText xml:space="preserve">PAGE  </w:instrText>
    </w:r>
    <w:r>
      <w:rPr>
        <w:rStyle w:val="PageNumber"/>
      </w:rPr>
      <w:fldChar w:fldCharType="end"/>
    </w:r>
  </w:p>
  <w:p w14:paraId="6C8DAC7A" w14:textId="77777777" w:rsidR="00B21E38" w:rsidRDefault="00B21E38" w:rsidP="001A693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07B1" w14:textId="77777777" w:rsidR="00B21E38" w:rsidRDefault="00B21E38" w:rsidP="009A284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1C9B2" w14:textId="77777777" w:rsidR="00634533" w:rsidRDefault="00634533">
      <w:r>
        <w:separator/>
      </w:r>
    </w:p>
  </w:footnote>
  <w:footnote w:type="continuationSeparator" w:id="0">
    <w:p w14:paraId="7D7B5AD0" w14:textId="77777777" w:rsidR="00634533" w:rsidRDefault="00634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2B38" w14:textId="1F8BE2E6" w:rsidR="005C6645" w:rsidRDefault="00095D9B">
    <w:pPr>
      <w:pStyle w:val="Header"/>
      <w:jc w:val="center"/>
    </w:pPr>
    <w:r>
      <w:fldChar w:fldCharType="begin"/>
    </w:r>
    <w:r w:rsidR="00E0745E">
      <w:instrText xml:space="preserve"> PAGE   \* MERGEFORMAT </w:instrText>
    </w:r>
    <w:r>
      <w:fldChar w:fldCharType="separate"/>
    </w:r>
    <w:r w:rsidR="008B3178">
      <w:t>2</w:t>
    </w:r>
    <w:r>
      <w:fldChar w:fldCharType="end"/>
    </w:r>
  </w:p>
  <w:p w14:paraId="72ECE7F8" w14:textId="77777777" w:rsidR="005C6645" w:rsidRDefault="005C66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C09"/>
    <w:multiLevelType w:val="hybridMultilevel"/>
    <w:tmpl w:val="155AA05E"/>
    <w:lvl w:ilvl="0" w:tplc="37422B14">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DB42692"/>
    <w:multiLevelType w:val="multilevel"/>
    <w:tmpl w:val="22FA16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ascii="Times New Roman" w:eastAsia="Times New Roman" w:hAnsi="Times New Roman" w:cs="Times New Roman"/>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E7A6BE5"/>
    <w:multiLevelType w:val="hybridMultilevel"/>
    <w:tmpl w:val="C6C895C2"/>
    <w:lvl w:ilvl="0" w:tplc="47AE49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E212C"/>
    <w:multiLevelType w:val="hybridMultilevel"/>
    <w:tmpl w:val="F11076CE"/>
    <w:lvl w:ilvl="0" w:tplc="E58CB3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096082"/>
    <w:multiLevelType w:val="hybridMultilevel"/>
    <w:tmpl w:val="4C20F38E"/>
    <w:lvl w:ilvl="0" w:tplc="27821BA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5FF761BA"/>
    <w:multiLevelType w:val="hybridMultilevel"/>
    <w:tmpl w:val="2B14F1AA"/>
    <w:lvl w:ilvl="0" w:tplc="A4FAAC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0ED3CEA"/>
    <w:multiLevelType w:val="hybridMultilevel"/>
    <w:tmpl w:val="1090C63C"/>
    <w:lvl w:ilvl="0" w:tplc="2C901E7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9540302"/>
    <w:multiLevelType w:val="hybridMultilevel"/>
    <w:tmpl w:val="DD3838C4"/>
    <w:lvl w:ilvl="0" w:tplc="98E2A2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19321C"/>
    <w:multiLevelType w:val="hybridMultilevel"/>
    <w:tmpl w:val="E16A4A64"/>
    <w:lvl w:ilvl="0" w:tplc="4784287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6E1C70F5"/>
    <w:multiLevelType w:val="hybridMultilevel"/>
    <w:tmpl w:val="84567EE2"/>
    <w:lvl w:ilvl="0" w:tplc="145A0B86">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7"/>
  </w:num>
  <w:num w:numId="4">
    <w:abstractNumId w:val="8"/>
  </w:num>
  <w:num w:numId="5">
    <w:abstractNumId w:val="5"/>
  </w:num>
  <w:num w:numId="6">
    <w:abstractNumId w:val="9"/>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5F"/>
    <w:rsid w:val="00002784"/>
    <w:rsid w:val="00006629"/>
    <w:rsid w:val="00006FFD"/>
    <w:rsid w:val="000079BA"/>
    <w:rsid w:val="00010AA5"/>
    <w:rsid w:val="00021673"/>
    <w:rsid w:val="00025C6E"/>
    <w:rsid w:val="00033607"/>
    <w:rsid w:val="00034085"/>
    <w:rsid w:val="000363D1"/>
    <w:rsid w:val="000472D5"/>
    <w:rsid w:val="000519EC"/>
    <w:rsid w:val="000568A1"/>
    <w:rsid w:val="00062DB6"/>
    <w:rsid w:val="000659BC"/>
    <w:rsid w:val="00070936"/>
    <w:rsid w:val="000716E6"/>
    <w:rsid w:val="00073A76"/>
    <w:rsid w:val="00075239"/>
    <w:rsid w:val="00076D91"/>
    <w:rsid w:val="000772D3"/>
    <w:rsid w:val="00077B36"/>
    <w:rsid w:val="00085C25"/>
    <w:rsid w:val="00087101"/>
    <w:rsid w:val="00090875"/>
    <w:rsid w:val="00090B4E"/>
    <w:rsid w:val="00091C7E"/>
    <w:rsid w:val="000938FF"/>
    <w:rsid w:val="00093C99"/>
    <w:rsid w:val="00094596"/>
    <w:rsid w:val="00095092"/>
    <w:rsid w:val="00095D9B"/>
    <w:rsid w:val="000A30E1"/>
    <w:rsid w:val="000A3F87"/>
    <w:rsid w:val="000B01C1"/>
    <w:rsid w:val="000B0F26"/>
    <w:rsid w:val="000B1A12"/>
    <w:rsid w:val="000B1E4E"/>
    <w:rsid w:val="000B2349"/>
    <w:rsid w:val="000B3709"/>
    <w:rsid w:val="000B44A8"/>
    <w:rsid w:val="000C3189"/>
    <w:rsid w:val="000C5260"/>
    <w:rsid w:val="000C740D"/>
    <w:rsid w:val="000D035C"/>
    <w:rsid w:val="000D4EE4"/>
    <w:rsid w:val="000E089F"/>
    <w:rsid w:val="000E0FAF"/>
    <w:rsid w:val="000E2073"/>
    <w:rsid w:val="000E7853"/>
    <w:rsid w:val="000E7ECD"/>
    <w:rsid w:val="000F7D80"/>
    <w:rsid w:val="0010160F"/>
    <w:rsid w:val="0010371F"/>
    <w:rsid w:val="00105213"/>
    <w:rsid w:val="00106452"/>
    <w:rsid w:val="00106EE1"/>
    <w:rsid w:val="00107633"/>
    <w:rsid w:val="001120B1"/>
    <w:rsid w:val="00112FA1"/>
    <w:rsid w:val="001148CE"/>
    <w:rsid w:val="0011539B"/>
    <w:rsid w:val="00122374"/>
    <w:rsid w:val="001261EB"/>
    <w:rsid w:val="0013257E"/>
    <w:rsid w:val="001335F0"/>
    <w:rsid w:val="00133942"/>
    <w:rsid w:val="00134418"/>
    <w:rsid w:val="0013626C"/>
    <w:rsid w:val="00143745"/>
    <w:rsid w:val="001509A4"/>
    <w:rsid w:val="0015409A"/>
    <w:rsid w:val="00160003"/>
    <w:rsid w:val="00160B41"/>
    <w:rsid w:val="001627C5"/>
    <w:rsid w:val="00162BB3"/>
    <w:rsid w:val="00163F0C"/>
    <w:rsid w:val="001659CB"/>
    <w:rsid w:val="00167EA5"/>
    <w:rsid w:val="00171442"/>
    <w:rsid w:val="00175398"/>
    <w:rsid w:val="001773E5"/>
    <w:rsid w:val="00177B17"/>
    <w:rsid w:val="00180399"/>
    <w:rsid w:val="001814D9"/>
    <w:rsid w:val="00183E09"/>
    <w:rsid w:val="00184ED9"/>
    <w:rsid w:val="0018527B"/>
    <w:rsid w:val="0019068C"/>
    <w:rsid w:val="00191D8B"/>
    <w:rsid w:val="0019390C"/>
    <w:rsid w:val="00195D66"/>
    <w:rsid w:val="001A5610"/>
    <w:rsid w:val="001A68F8"/>
    <w:rsid w:val="001A6934"/>
    <w:rsid w:val="001A6DEB"/>
    <w:rsid w:val="001B02E9"/>
    <w:rsid w:val="001B194C"/>
    <w:rsid w:val="001B208A"/>
    <w:rsid w:val="001B3B07"/>
    <w:rsid w:val="001B4297"/>
    <w:rsid w:val="001B489C"/>
    <w:rsid w:val="001B68B6"/>
    <w:rsid w:val="001C28B2"/>
    <w:rsid w:val="001C5A71"/>
    <w:rsid w:val="001D308C"/>
    <w:rsid w:val="001E1642"/>
    <w:rsid w:val="001E23D4"/>
    <w:rsid w:val="001E42EE"/>
    <w:rsid w:val="001E5A95"/>
    <w:rsid w:val="001E75AE"/>
    <w:rsid w:val="001F1585"/>
    <w:rsid w:val="001F4C90"/>
    <w:rsid w:val="001F63D7"/>
    <w:rsid w:val="0020074A"/>
    <w:rsid w:val="00204750"/>
    <w:rsid w:val="002063DB"/>
    <w:rsid w:val="0021035F"/>
    <w:rsid w:val="00213685"/>
    <w:rsid w:val="00222922"/>
    <w:rsid w:val="002258AF"/>
    <w:rsid w:val="00230EF5"/>
    <w:rsid w:val="00233435"/>
    <w:rsid w:val="002358E3"/>
    <w:rsid w:val="00236EF9"/>
    <w:rsid w:val="002422C8"/>
    <w:rsid w:val="00244CEE"/>
    <w:rsid w:val="00245320"/>
    <w:rsid w:val="002478F3"/>
    <w:rsid w:val="00256ECF"/>
    <w:rsid w:val="00257161"/>
    <w:rsid w:val="00263119"/>
    <w:rsid w:val="0026366F"/>
    <w:rsid w:val="00265395"/>
    <w:rsid w:val="0027030C"/>
    <w:rsid w:val="00271143"/>
    <w:rsid w:val="00277633"/>
    <w:rsid w:val="00277D50"/>
    <w:rsid w:val="002817B4"/>
    <w:rsid w:val="0028211E"/>
    <w:rsid w:val="00282D86"/>
    <w:rsid w:val="0028302E"/>
    <w:rsid w:val="00283505"/>
    <w:rsid w:val="002851C4"/>
    <w:rsid w:val="002856CD"/>
    <w:rsid w:val="00285DD9"/>
    <w:rsid w:val="00290241"/>
    <w:rsid w:val="002912EE"/>
    <w:rsid w:val="002918B1"/>
    <w:rsid w:val="00293F8B"/>
    <w:rsid w:val="002968C5"/>
    <w:rsid w:val="002B799A"/>
    <w:rsid w:val="002C4526"/>
    <w:rsid w:val="002C5A93"/>
    <w:rsid w:val="002D0D68"/>
    <w:rsid w:val="002D326C"/>
    <w:rsid w:val="002D45FA"/>
    <w:rsid w:val="002E26F3"/>
    <w:rsid w:val="002E47A9"/>
    <w:rsid w:val="002E5775"/>
    <w:rsid w:val="002F0D03"/>
    <w:rsid w:val="002F1982"/>
    <w:rsid w:val="002F1DAF"/>
    <w:rsid w:val="002F32C7"/>
    <w:rsid w:val="002F33E7"/>
    <w:rsid w:val="002F5D8C"/>
    <w:rsid w:val="002F6332"/>
    <w:rsid w:val="002F6DA5"/>
    <w:rsid w:val="003030D1"/>
    <w:rsid w:val="003032C4"/>
    <w:rsid w:val="003046CD"/>
    <w:rsid w:val="00311E8F"/>
    <w:rsid w:val="00315E08"/>
    <w:rsid w:val="00322151"/>
    <w:rsid w:val="00325302"/>
    <w:rsid w:val="00330886"/>
    <w:rsid w:val="00330E43"/>
    <w:rsid w:val="0033115A"/>
    <w:rsid w:val="00334943"/>
    <w:rsid w:val="0033573B"/>
    <w:rsid w:val="00342335"/>
    <w:rsid w:val="0034482A"/>
    <w:rsid w:val="00346E85"/>
    <w:rsid w:val="0034721D"/>
    <w:rsid w:val="003532D1"/>
    <w:rsid w:val="0036094D"/>
    <w:rsid w:val="0036269F"/>
    <w:rsid w:val="00365475"/>
    <w:rsid w:val="003657B5"/>
    <w:rsid w:val="00365812"/>
    <w:rsid w:val="00366271"/>
    <w:rsid w:val="0036688B"/>
    <w:rsid w:val="00370D50"/>
    <w:rsid w:val="00372220"/>
    <w:rsid w:val="00372DDD"/>
    <w:rsid w:val="00381E74"/>
    <w:rsid w:val="00385A82"/>
    <w:rsid w:val="00386ECE"/>
    <w:rsid w:val="0038796A"/>
    <w:rsid w:val="0039153A"/>
    <w:rsid w:val="00391994"/>
    <w:rsid w:val="00392B8C"/>
    <w:rsid w:val="003A21B9"/>
    <w:rsid w:val="003A55F1"/>
    <w:rsid w:val="003A6CD6"/>
    <w:rsid w:val="003A6FC4"/>
    <w:rsid w:val="003B03E5"/>
    <w:rsid w:val="003B15A8"/>
    <w:rsid w:val="003B3409"/>
    <w:rsid w:val="003B5F0A"/>
    <w:rsid w:val="003C1564"/>
    <w:rsid w:val="003D0C53"/>
    <w:rsid w:val="003D1B11"/>
    <w:rsid w:val="003D1FF4"/>
    <w:rsid w:val="003D22E5"/>
    <w:rsid w:val="003D2389"/>
    <w:rsid w:val="003D7270"/>
    <w:rsid w:val="003E3199"/>
    <w:rsid w:val="003E40EC"/>
    <w:rsid w:val="003E62EC"/>
    <w:rsid w:val="003E7115"/>
    <w:rsid w:val="003F0F33"/>
    <w:rsid w:val="003F2735"/>
    <w:rsid w:val="003F6839"/>
    <w:rsid w:val="003F7837"/>
    <w:rsid w:val="00402B84"/>
    <w:rsid w:val="004073FE"/>
    <w:rsid w:val="0041081A"/>
    <w:rsid w:val="004120F3"/>
    <w:rsid w:val="00412439"/>
    <w:rsid w:val="00414AF3"/>
    <w:rsid w:val="00415E8C"/>
    <w:rsid w:val="004210C1"/>
    <w:rsid w:val="0042191D"/>
    <w:rsid w:val="00422763"/>
    <w:rsid w:val="00423FBE"/>
    <w:rsid w:val="00432005"/>
    <w:rsid w:val="00436E1D"/>
    <w:rsid w:val="00437F74"/>
    <w:rsid w:val="0044586E"/>
    <w:rsid w:val="004513D8"/>
    <w:rsid w:val="004528F7"/>
    <w:rsid w:val="00455F39"/>
    <w:rsid w:val="00460FB4"/>
    <w:rsid w:val="00461BEB"/>
    <w:rsid w:val="00467301"/>
    <w:rsid w:val="004722AA"/>
    <w:rsid w:val="00480EA4"/>
    <w:rsid w:val="00481B7C"/>
    <w:rsid w:val="00483152"/>
    <w:rsid w:val="00487427"/>
    <w:rsid w:val="004921B7"/>
    <w:rsid w:val="0049344D"/>
    <w:rsid w:val="00493FC8"/>
    <w:rsid w:val="00496266"/>
    <w:rsid w:val="004A08D7"/>
    <w:rsid w:val="004A0BCC"/>
    <w:rsid w:val="004A1121"/>
    <w:rsid w:val="004B0C2D"/>
    <w:rsid w:val="004B294E"/>
    <w:rsid w:val="004B332D"/>
    <w:rsid w:val="004B42B1"/>
    <w:rsid w:val="004B58F9"/>
    <w:rsid w:val="004C0489"/>
    <w:rsid w:val="004C182D"/>
    <w:rsid w:val="004C7B80"/>
    <w:rsid w:val="004D06F7"/>
    <w:rsid w:val="004D1BFC"/>
    <w:rsid w:val="004D46AB"/>
    <w:rsid w:val="004D7163"/>
    <w:rsid w:val="004D7648"/>
    <w:rsid w:val="004E5619"/>
    <w:rsid w:val="004E60C1"/>
    <w:rsid w:val="004F07ED"/>
    <w:rsid w:val="004F15D2"/>
    <w:rsid w:val="004F6201"/>
    <w:rsid w:val="004F6E7A"/>
    <w:rsid w:val="00500687"/>
    <w:rsid w:val="00507754"/>
    <w:rsid w:val="00507838"/>
    <w:rsid w:val="00507A4F"/>
    <w:rsid w:val="00514A0E"/>
    <w:rsid w:val="00533020"/>
    <w:rsid w:val="005342F5"/>
    <w:rsid w:val="005407E8"/>
    <w:rsid w:val="005449A6"/>
    <w:rsid w:val="0055029A"/>
    <w:rsid w:val="005516FC"/>
    <w:rsid w:val="00552FC1"/>
    <w:rsid w:val="00557AEB"/>
    <w:rsid w:val="00557FAC"/>
    <w:rsid w:val="00560617"/>
    <w:rsid w:val="00567E01"/>
    <w:rsid w:val="00570522"/>
    <w:rsid w:val="005738FE"/>
    <w:rsid w:val="00573BE5"/>
    <w:rsid w:val="00574082"/>
    <w:rsid w:val="00576B78"/>
    <w:rsid w:val="00580509"/>
    <w:rsid w:val="00585981"/>
    <w:rsid w:val="00590C07"/>
    <w:rsid w:val="00592F64"/>
    <w:rsid w:val="005932EC"/>
    <w:rsid w:val="0059330A"/>
    <w:rsid w:val="005A0BCC"/>
    <w:rsid w:val="005A15EB"/>
    <w:rsid w:val="005A1B4B"/>
    <w:rsid w:val="005A3731"/>
    <w:rsid w:val="005A6FAC"/>
    <w:rsid w:val="005B0992"/>
    <w:rsid w:val="005B2DCA"/>
    <w:rsid w:val="005C1749"/>
    <w:rsid w:val="005C1C07"/>
    <w:rsid w:val="005C1F0E"/>
    <w:rsid w:val="005C28C2"/>
    <w:rsid w:val="005C6266"/>
    <w:rsid w:val="005C6645"/>
    <w:rsid w:val="005C6B2B"/>
    <w:rsid w:val="005D4AA6"/>
    <w:rsid w:val="005D55F5"/>
    <w:rsid w:val="005D61A5"/>
    <w:rsid w:val="005E1F10"/>
    <w:rsid w:val="005E2BE3"/>
    <w:rsid w:val="005E52B8"/>
    <w:rsid w:val="005E72AC"/>
    <w:rsid w:val="005F0069"/>
    <w:rsid w:val="005F3329"/>
    <w:rsid w:val="005F738B"/>
    <w:rsid w:val="00600321"/>
    <w:rsid w:val="00600E1B"/>
    <w:rsid w:val="00600F50"/>
    <w:rsid w:val="006037C5"/>
    <w:rsid w:val="00606E4D"/>
    <w:rsid w:val="00611013"/>
    <w:rsid w:val="00612C96"/>
    <w:rsid w:val="0061542B"/>
    <w:rsid w:val="00617DEE"/>
    <w:rsid w:val="006201EA"/>
    <w:rsid w:val="00620A70"/>
    <w:rsid w:val="006323AC"/>
    <w:rsid w:val="00632FDF"/>
    <w:rsid w:val="00634533"/>
    <w:rsid w:val="00634DB3"/>
    <w:rsid w:val="00645638"/>
    <w:rsid w:val="0064659F"/>
    <w:rsid w:val="00646C81"/>
    <w:rsid w:val="00654B62"/>
    <w:rsid w:val="0065671F"/>
    <w:rsid w:val="00657A37"/>
    <w:rsid w:val="00660363"/>
    <w:rsid w:val="00661C78"/>
    <w:rsid w:val="0066262B"/>
    <w:rsid w:val="0066426C"/>
    <w:rsid w:val="00672EC5"/>
    <w:rsid w:val="00673F53"/>
    <w:rsid w:val="00675D70"/>
    <w:rsid w:val="006761F9"/>
    <w:rsid w:val="00683512"/>
    <w:rsid w:val="00687CBF"/>
    <w:rsid w:val="00690EF3"/>
    <w:rsid w:val="006925AF"/>
    <w:rsid w:val="0069395D"/>
    <w:rsid w:val="00693A97"/>
    <w:rsid w:val="006960DD"/>
    <w:rsid w:val="006A176D"/>
    <w:rsid w:val="006A47EC"/>
    <w:rsid w:val="006B0E66"/>
    <w:rsid w:val="006B4924"/>
    <w:rsid w:val="006C45FF"/>
    <w:rsid w:val="006C5623"/>
    <w:rsid w:val="006D1363"/>
    <w:rsid w:val="006D299A"/>
    <w:rsid w:val="006D3648"/>
    <w:rsid w:val="006D439E"/>
    <w:rsid w:val="006D594C"/>
    <w:rsid w:val="006D79D1"/>
    <w:rsid w:val="006E4896"/>
    <w:rsid w:val="006E6E40"/>
    <w:rsid w:val="006E7E6C"/>
    <w:rsid w:val="006E7F37"/>
    <w:rsid w:val="006F0001"/>
    <w:rsid w:val="006F0B5E"/>
    <w:rsid w:val="006F195A"/>
    <w:rsid w:val="006F5313"/>
    <w:rsid w:val="00700F9F"/>
    <w:rsid w:val="00701156"/>
    <w:rsid w:val="00701734"/>
    <w:rsid w:val="00704470"/>
    <w:rsid w:val="00705046"/>
    <w:rsid w:val="00710896"/>
    <w:rsid w:val="00714084"/>
    <w:rsid w:val="00716AA4"/>
    <w:rsid w:val="00716AA5"/>
    <w:rsid w:val="00722584"/>
    <w:rsid w:val="0072552E"/>
    <w:rsid w:val="00727E05"/>
    <w:rsid w:val="0073098B"/>
    <w:rsid w:val="0073372B"/>
    <w:rsid w:val="007338E8"/>
    <w:rsid w:val="00743908"/>
    <w:rsid w:val="00744602"/>
    <w:rsid w:val="00746092"/>
    <w:rsid w:val="007514BB"/>
    <w:rsid w:val="00755448"/>
    <w:rsid w:val="007579B4"/>
    <w:rsid w:val="007617E2"/>
    <w:rsid w:val="00774127"/>
    <w:rsid w:val="00774DDE"/>
    <w:rsid w:val="0078466D"/>
    <w:rsid w:val="007851A8"/>
    <w:rsid w:val="007866AF"/>
    <w:rsid w:val="007913EA"/>
    <w:rsid w:val="007942A7"/>
    <w:rsid w:val="00795896"/>
    <w:rsid w:val="00796CFB"/>
    <w:rsid w:val="0079752D"/>
    <w:rsid w:val="00797C55"/>
    <w:rsid w:val="007A121D"/>
    <w:rsid w:val="007A1698"/>
    <w:rsid w:val="007A20BF"/>
    <w:rsid w:val="007A2A71"/>
    <w:rsid w:val="007A47F3"/>
    <w:rsid w:val="007B3219"/>
    <w:rsid w:val="007B4E9A"/>
    <w:rsid w:val="007B6745"/>
    <w:rsid w:val="007B77B0"/>
    <w:rsid w:val="007C141F"/>
    <w:rsid w:val="007C1E1F"/>
    <w:rsid w:val="007C29F8"/>
    <w:rsid w:val="007C2A94"/>
    <w:rsid w:val="007C5CF6"/>
    <w:rsid w:val="007C7B3D"/>
    <w:rsid w:val="007D2B83"/>
    <w:rsid w:val="007D4F0B"/>
    <w:rsid w:val="007D6CD3"/>
    <w:rsid w:val="007D7615"/>
    <w:rsid w:val="007E31A1"/>
    <w:rsid w:val="007E40E4"/>
    <w:rsid w:val="007E439E"/>
    <w:rsid w:val="007E6300"/>
    <w:rsid w:val="007F1356"/>
    <w:rsid w:val="007F1BAF"/>
    <w:rsid w:val="007F2B19"/>
    <w:rsid w:val="007F3701"/>
    <w:rsid w:val="007F3A5D"/>
    <w:rsid w:val="007F60BD"/>
    <w:rsid w:val="007F70FD"/>
    <w:rsid w:val="00800AEB"/>
    <w:rsid w:val="00801057"/>
    <w:rsid w:val="0080156E"/>
    <w:rsid w:val="008017F2"/>
    <w:rsid w:val="00802830"/>
    <w:rsid w:val="0080363E"/>
    <w:rsid w:val="008061A5"/>
    <w:rsid w:val="00806F43"/>
    <w:rsid w:val="008070DB"/>
    <w:rsid w:val="00813EDE"/>
    <w:rsid w:val="0081770A"/>
    <w:rsid w:val="00820322"/>
    <w:rsid w:val="00823794"/>
    <w:rsid w:val="008254BA"/>
    <w:rsid w:val="0082661E"/>
    <w:rsid w:val="00830160"/>
    <w:rsid w:val="0083129C"/>
    <w:rsid w:val="008439EC"/>
    <w:rsid w:val="0084454A"/>
    <w:rsid w:val="00847EBA"/>
    <w:rsid w:val="00847EBD"/>
    <w:rsid w:val="008519E8"/>
    <w:rsid w:val="00853832"/>
    <w:rsid w:val="0085703F"/>
    <w:rsid w:val="008603A7"/>
    <w:rsid w:val="00865857"/>
    <w:rsid w:val="0087295C"/>
    <w:rsid w:val="00877908"/>
    <w:rsid w:val="008822A6"/>
    <w:rsid w:val="00883604"/>
    <w:rsid w:val="00891CEE"/>
    <w:rsid w:val="008A2512"/>
    <w:rsid w:val="008A2A89"/>
    <w:rsid w:val="008B032E"/>
    <w:rsid w:val="008B037D"/>
    <w:rsid w:val="008B2430"/>
    <w:rsid w:val="008B3178"/>
    <w:rsid w:val="008B4296"/>
    <w:rsid w:val="008B5EBE"/>
    <w:rsid w:val="008C2B90"/>
    <w:rsid w:val="008C40DC"/>
    <w:rsid w:val="008C63CD"/>
    <w:rsid w:val="008D2015"/>
    <w:rsid w:val="008D3EDF"/>
    <w:rsid w:val="008E154C"/>
    <w:rsid w:val="008E2150"/>
    <w:rsid w:val="008E45A5"/>
    <w:rsid w:val="008E611F"/>
    <w:rsid w:val="008E79CE"/>
    <w:rsid w:val="008E7B18"/>
    <w:rsid w:val="008F0AEE"/>
    <w:rsid w:val="008F1B43"/>
    <w:rsid w:val="008F2D60"/>
    <w:rsid w:val="008F2F09"/>
    <w:rsid w:val="008F6B1A"/>
    <w:rsid w:val="009025D9"/>
    <w:rsid w:val="00907911"/>
    <w:rsid w:val="0091206E"/>
    <w:rsid w:val="00913A9F"/>
    <w:rsid w:val="0091551B"/>
    <w:rsid w:val="00916780"/>
    <w:rsid w:val="00923CB9"/>
    <w:rsid w:val="00925DF7"/>
    <w:rsid w:val="00926CB5"/>
    <w:rsid w:val="00926F39"/>
    <w:rsid w:val="0093073F"/>
    <w:rsid w:val="009315BF"/>
    <w:rsid w:val="009339D7"/>
    <w:rsid w:val="0094443A"/>
    <w:rsid w:val="00946892"/>
    <w:rsid w:val="0094758C"/>
    <w:rsid w:val="00947C39"/>
    <w:rsid w:val="009512CD"/>
    <w:rsid w:val="009570AF"/>
    <w:rsid w:val="009602B4"/>
    <w:rsid w:val="009643A8"/>
    <w:rsid w:val="009715D8"/>
    <w:rsid w:val="00975641"/>
    <w:rsid w:val="00975F39"/>
    <w:rsid w:val="009803AD"/>
    <w:rsid w:val="00980834"/>
    <w:rsid w:val="00981D9B"/>
    <w:rsid w:val="00985FDB"/>
    <w:rsid w:val="00987C19"/>
    <w:rsid w:val="00991B78"/>
    <w:rsid w:val="00993A73"/>
    <w:rsid w:val="009950D8"/>
    <w:rsid w:val="00996B5F"/>
    <w:rsid w:val="009A284E"/>
    <w:rsid w:val="009A2F5C"/>
    <w:rsid w:val="009A61C8"/>
    <w:rsid w:val="009B108A"/>
    <w:rsid w:val="009B18FD"/>
    <w:rsid w:val="009B3096"/>
    <w:rsid w:val="009B70D4"/>
    <w:rsid w:val="009B7AB6"/>
    <w:rsid w:val="009C08E0"/>
    <w:rsid w:val="009C369D"/>
    <w:rsid w:val="009C6AE7"/>
    <w:rsid w:val="009D26F7"/>
    <w:rsid w:val="009D2DAF"/>
    <w:rsid w:val="009E0687"/>
    <w:rsid w:val="009E14BB"/>
    <w:rsid w:val="009F68E5"/>
    <w:rsid w:val="009F745A"/>
    <w:rsid w:val="00A03D8A"/>
    <w:rsid w:val="00A11329"/>
    <w:rsid w:val="00A13E7D"/>
    <w:rsid w:val="00A17C70"/>
    <w:rsid w:val="00A24CCB"/>
    <w:rsid w:val="00A305EA"/>
    <w:rsid w:val="00A33625"/>
    <w:rsid w:val="00A33724"/>
    <w:rsid w:val="00A345B6"/>
    <w:rsid w:val="00A3468C"/>
    <w:rsid w:val="00A35BF8"/>
    <w:rsid w:val="00A40106"/>
    <w:rsid w:val="00A401BF"/>
    <w:rsid w:val="00A45545"/>
    <w:rsid w:val="00A465F0"/>
    <w:rsid w:val="00A46A4D"/>
    <w:rsid w:val="00A46D02"/>
    <w:rsid w:val="00A47FCD"/>
    <w:rsid w:val="00A5137D"/>
    <w:rsid w:val="00A52A9E"/>
    <w:rsid w:val="00A54CB3"/>
    <w:rsid w:val="00A6520B"/>
    <w:rsid w:val="00A66282"/>
    <w:rsid w:val="00A7267C"/>
    <w:rsid w:val="00A76E2B"/>
    <w:rsid w:val="00A83175"/>
    <w:rsid w:val="00A8644C"/>
    <w:rsid w:val="00A87600"/>
    <w:rsid w:val="00A9176D"/>
    <w:rsid w:val="00A91E13"/>
    <w:rsid w:val="00A92CF1"/>
    <w:rsid w:val="00A93C03"/>
    <w:rsid w:val="00A940E5"/>
    <w:rsid w:val="00A97F5B"/>
    <w:rsid w:val="00AA1347"/>
    <w:rsid w:val="00AA5DF5"/>
    <w:rsid w:val="00AA6614"/>
    <w:rsid w:val="00AB14E8"/>
    <w:rsid w:val="00AB3C4D"/>
    <w:rsid w:val="00AB501A"/>
    <w:rsid w:val="00AC54BC"/>
    <w:rsid w:val="00AD30AA"/>
    <w:rsid w:val="00AD3F0A"/>
    <w:rsid w:val="00AD42FF"/>
    <w:rsid w:val="00AE028D"/>
    <w:rsid w:val="00AE1566"/>
    <w:rsid w:val="00AE2909"/>
    <w:rsid w:val="00AE5CE7"/>
    <w:rsid w:val="00AF0674"/>
    <w:rsid w:val="00AF1F3B"/>
    <w:rsid w:val="00AF36CA"/>
    <w:rsid w:val="00AF5C54"/>
    <w:rsid w:val="00AF79DB"/>
    <w:rsid w:val="00B01DFE"/>
    <w:rsid w:val="00B131A8"/>
    <w:rsid w:val="00B13BF6"/>
    <w:rsid w:val="00B20974"/>
    <w:rsid w:val="00B21E38"/>
    <w:rsid w:val="00B22AB0"/>
    <w:rsid w:val="00B237CB"/>
    <w:rsid w:val="00B248C0"/>
    <w:rsid w:val="00B260FE"/>
    <w:rsid w:val="00B35AF6"/>
    <w:rsid w:val="00B36B4B"/>
    <w:rsid w:val="00B51C45"/>
    <w:rsid w:val="00B52DCA"/>
    <w:rsid w:val="00B552C0"/>
    <w:rsid w:val="00B5563D"/>
    <w:rsid w:val="00B65A4A"/>
    <w:rsid w:val="00B664E9"/>
    <w:rsid w:val="00B7080E"/>
    <w:rsid w:val="00B73546"/>
    <w:rsid w:val="00B74FD2"/>
    <w:rsid w:val="00B77FC6"/>
    <w:rsid w:val="00B90825"/>
    <w:rsid w:val="00B91356"/>
    <w:rsid w:val="00B92AD8"/>
    <w:rsid w:val="00B95A2E"/>
    <w:rsid w:val="00B97FCE"/>
    <w:rsid w:val="00BB077B"/>
    <w:rsid w:val="00BB12C2"/>
    <w:rsid w:val="00BC15F6"/>
    <w:rsid w:val="00BC224A"/>
    <w:rsid w:val="00BC517F"/>
    <w:rsid w:val="00BC5332"/>
    <w:rsid w:val="00BC75F3"/>
    <w:rsid w:val="00BD0316"/>
    <w:rsid w:val="00BE38AC"/>
    <w:rsid w:val="00BE5599"/>
    <w:rsid w:val="00BE55ED"/>
    <w:rsid w:val="00BE6A8A"/>
    <w:rsid w:val="00BE6DFA"/>
    <w:rsid w:val="00BE6F16"/>
    <w:rsid w:val="00BF0307"/>
    <w:rsid w:val="00BF26EE"/>
    <w:rsid w:val="00C0075E"/>
    <w:rsid w:val="00C00A35"/>
    <w:rsid w:val="00C01429"/>
    <w:rsid w:val="00C0572B"/>
    <w:rsid w:val="00C0778E"/>
    <w:rsid w:val="00C07D3C"/>
    <w:rsid w:val="00C158C8"/>
    <w:rsid w:val="00C15CD1"/>
    <w:rsid w:val="00C21911"/>
    <w:rsid w:val="00C2404F"/>
    <w:rsid w:val="00C24AD3"/>
    <w:rsid w:val="00C255F6"/>
    <w:rsid w:val="00C25D3C"/>
    <w:rsid w:val="00C26600"/>
    <w:rsid w:val="00C306EB"/>
    <w:rsid w:val="00C3111F"/>
    <w:rsid w:val="00C338B8"/>
    <w:rsid w:val="00C33D23"/>
    <w:rsid w:val="00C33F93"/>
    <w:rsid w:val="00C36098"/>
    <w:rsid w:val="00C4136F"/>
    <w:rsid w:val="00C41A26"/>
    <w:rsid w:val="00C45B24"/>
    <w:rsid w:val="00C47029"/>
    <w:rsid w:val="00C52E8C"/>
    <w:rsid w:val="00C565D4"/>
    <w:rsid w:val="00C576C6"/>
    <w:rsid w:val="00C62D99"/>
    <w:rsid w:val="00C63776"/>
    <w:rsid w:val="00C67627"/>
    <w:rsid w:val="00C74563"/>
    <w:rsid w:val="00C77261"/>
    <w:rsid w:val="00C80E23"/>
    <w:rsid w:val="00C83694"/>
    <w:rsid w:val="00C84286"/>
    <w:rsid w:val="00C847B9"/>
    <w:rsid w:val="00C85ADD"/>
    <w:rsid w:val="00C85DFA"/>
    <w:rsid w:val="00C9176E"/>
    <w:rsid w:val="00CA11BC"/>
    <w:rsid w:val="00CA3921"/>
    <w:rsid w:val="00CA3CE9"/>
    <w:rsid w:val="00CA5178"/>
    <w:rsid w:val="00CA666C"/>
    <w:rsid w:val="00CB0958"/>
    <w:rsid w:val="00CB0B96"/>
    <w:rsid w:val="00CB38B2"/>
    <w:rsid w:val="00CB4B21"/>
    <w:rsid w:val="00CB6BB4"/>
    <w:rsid w:val="00CB736A"/>
    <w:rsid w:val="00CC1710"/>
    <w:rsid w:val="00CC1A4C"/>
    <w:rsid w:val="00CC2871"/>
    <w:rsid w:val="00CC3AF7"/>
    <w:rsid w:val="00CC61A9"/>
    <w:rsid w:val="00CD012F"/>
    <w:rsid w:val="00CD0403"/>
    <w:rsid w:val="00CD536F"/>
    <w:rsid w:val="00CD64C0"/>
    <w:rsid w:val="00CD6CE5"/>
    <w:rsid w:val="00CE3C3A"/>
    <w:rsid w:val="00CE3D46"/>
    <w:rsid w:val="00CE5BF0"/>
    <w:rsid w:val="00CE5F05"/>
    <w:rsid w:val="00CE6951"/>
    <w:rsid w:val="00CE7539"/>
    <w:rsid w:val="00CF251E"/>
    <w:rsid w:val="00D1100D"/>
    <w:rsid w:val="00D22456"/>
    <w:rsid w:val="00D22CA5"/>
    <w:rsid w:val="00D247AC"/>
    <w:rsid w:val="00D250F0"/>
    <w:rsid w:val="00D31DA6"/>
    <w:rsid w:val="00D33C5A"/>
    <w:rsid w:val="00D35530"/>
    <w:rsid w:val="00D35F43"/>
    <w:rsid w:val="00D36D7A"/>
    <w:rsid w:val="00D37190"/>
    <w:rsid w:val="00D424CA"/>
    <w:rsid w:val="00D42B62"/>
    <w:rsid w:val="00D43102"/>
    <w:rsid w:val="00D43750"/>
    <w:rsid w:val="00D447C7"/>
    <w:rsid w:val="00D44F72"/>
    <w:rsid w:val="00D477C8"/>
    <w:rsid w:val="00D5015E"/>
    <w:rsid w:val="00D5310F"/>
    <w:rsid w:val="00D55491"/>
    <w:rsid w:val="00D56638"/>
    <w:rsid w:val="00D56E50"/>
    <w:rsid w:val="00D604CE"/>
    <w:rsid w:val="00D71B11"/>
    <w:rsid w:val="00D73845"/>
    <w:rsid w:val="00D76040"/>
    <w:rsid w:val="00D77499"/>
    <w:rsid w:val="00D77864"/>
    <w:rsid w:val="00D85D5E"/>
    <w:rsid w:val="00D866CA"/>
    <w:rsid w:val="00D90977"/>
    <w:rsid w:val="00D90BC8"/>
    <w:rsid w:val="00DA3366"/>
    <w:rsid w:val="00DA69C6"/>
    <w:rsid w:val="00DB1C57"/>
    <w:rsid w:val="00DB41CC"/>
    <w:rsid w:val="00DB6D9D"/>
    <w:rsid w:val="00DC0903"/>
    <w:rsid w:val="00DC0F93"/>
    <w:rsid w:val="00DC3C16"/>
    <w:rsid w:val="00DD01FF"/>
    <w:rsid w:val="00DD14D2"/>
    <w:rsid w:val="00DD3ACE"/>
    <w:rsid w:val="00DD5A7B"/>
    <w:rsid w:val="00DD6AEA"/>
    <w:rsid w:val="00DE108F"/>
    <w:rsid w:val="00DE3B14"/>
    <w:rsid w:val="00DE4E48"/>
    <w:rsid w:val="00DE608D"/>
    <w:rsid w:val="00DF6691"/>
    <w:rsid w:val="00DF6839"/>
    <w:rsid w:val="00DF7CE6"/>
    <w:rsid w:val="00E024E2"/>
    <w:rsid w:val="00E03BED"/>
    <w:rsid w:val="00E06D3D"/>
    <w:rsid w:val="00E071A8"/>
    <w:rsid w:val="00E0745E"/>
    <w:rsid w:val="00E075F6"/>
    <w:rsid w:val="00E077DA"/>
    <w:rsid w:val="00E11618"/>
    <w:rsid w:val="00E11E46"/>
    <w:rsid w:val="00E1588E"/>
    <w:rsid w:val="00E15EB2"/>
    <w:rsid w:val="00E33596"/>
    <w:rsid w:val="00E351B0"/>
    <w:rsid w:val="00E44CC8"/>
    <w:rsid w:val="00E45A5A"/>
    <w:rsid w:val="00E460BB"/>
    <w:rsid w:val="00E5618E"/>
    <w:rsid w:val="00E61789"/>
    <w:rsid w:val="00E7031C"/>
    <w:rsid w:val="00E70486"/>
    <w:rsid w:val="00E720C4"/>
    <w:rsid w:val="00E74CDD"/>
    <w:rsid w:val="00E74DC5"/>
    <w:rsid w:val="00E82B78"/>
    <w:rsid w:val="00E830CF"/>
    <w:rsid w:val="00E8409B"/>
    <w:rsid w:val="00E84117"/>
    <w:rsid w:val="00E91829"/>
    <w:rsid w:val="00E94B08"/>
    <w:rsid w:val="00EA4D6F"/>
    <w:rsid w:val="00EB308B"/>
    <w:rsid w:val="00EB382E"/>
    <w:rsid w:val="00EC207F"/>
    <w:rsid w:val="00EC5014"/>
    <w:rsid w:val="00ED05A7"/>
    <w:rsid w:val="00ED0F73"/>
    <w:rsid w:val="00ED24FD"/>
    <w:rsid w:val="00ED5767"/>
    <w:rsid w:val="00EE48BE"/>
    <w:rsid w:val="00EE7647"/>
    <w:rsid w:val="00EE7D3A"/>
    <w:rsid w:val="00EF2250"/>
    <w:rsid w:val="00EF236B"/>
    <w:rsid w:val="00EF2622"/>
    <w:rsid w:val="00EF2D18"/>
    <w:rsid w:val="00F03A4E"/>
    <w:rsid w:val="00F0403C"/>
    <w:rsid w:val="00F0489A"/>
    <w:rsid w:val="00F064F2"/>
    <w:rsid w:val="00F10B57"/>
    <w:rsid w:val="00F16FB3"/>
    <w:rsid w:val="00F17458"/>
    <w:rsid w:val="00F17492"/>
    <w:rsid w:val="00F20EF5"/>
    <w:rsid w:val="00F26CD9"/>
    <w:rsid w:val="00F26DC9"/>
    <w:rsid w:val="00F33E62"/>
    <w:rsid w:val="00F3452E"/>
    <w:rsid w:val="00F3594D"/>
    <w:rsid w:val="00F457D0"/>
    <w:rsid w:val="00F538AF"/>
    <w:rsid w:val="00F55412"/>
    <w:rsid w:val="00F64DEA"/>
    <w:rsid w:val="00F67195"/>
    <w:rsid w:val="00F708F4"/>
    <w:rsid w:val="00F7109C"/>
    <w:rsid w:val="00F76ED2"/>
    <w:rsid w:val="00F80B84"/>
    <w:rsid w:val="00F8383B"/>
    <w:rsid w:val="00F842BB"/>
    <w:rsid w:val="00F8673D"/>
    <w:rsid w:val="00F92812"/>
    <w:rsid w:val="00F92A54"/>
    <w:rsid w:val="00FA1CCA"/>
    <w:rsid w:val="00FA7CC2"/>
    <w:rsid w:val="00FA7E94"/>
    <w:rsid w:val="00FB0E5A"/>
    <w:rsid w:val="00FB297E"/>
    <w:rsid w:val="00FC18AA"/>
    <w:rsid w:val="00FC2CB6"/>
    <w:rsid w:val="00FC587B"/>
    <w:rsid w:val="00FC5BF8"/>
    <w:rsid w:val="00FD00B3"/>
    <w:rsid w:val="00FD6427"/>
    <w:rsid w:val="00FE4433"/>
    <w:rsid w:val="00FE5A25"/>
    <w:rsid w:val="00FE622D"/>
    <w:rsid w:val="00FF0544"/>
    <w:rsid w:val="00FF347D"/>
    <w:rsid w:val="00FF5474"/>
    <w:rsid w:val="00FF7D7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AB2C"/>
  <w15:docId w15:val="{C0E60E40-01EE-4029-A03E-FBAB7775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5C"/>
    <w:rPr>
      <w:noProof/>
      <w:sz w:val="24"/>
      <w:szCs w:val="24"/>
    </w:rPr>
  </w:style>
  <w:style w:type="paragraph" w:styleId="Heading1">
    <w:name w:val="heading 1"/>
    <w:basedOn w:val="Normal"/>
    <w:next w:val="Normal"/>
    <w:qFormat/>
    <w:rsid w:val="00CA666C"/>
    <w:pPr>
      <w:keepNext/>
      <w:jc w:val="center"/>
      <w:outlineLvl w:val="0"/>
    </w:pPr>
    <w:rPr>
      <w:rFonts w:ascii=".VnTimeH" w:hAnsi=".VnTimeH"/>
      <w:sz w:val="28"/>
      <w:szCs w:val="20"/>
    </w:rPr>
  </w:style>
  <w:style w:type="paragraph" w:styleId="Heading2">
    <w:name w:val="heading 2"/>
    <w:basedOn w:val="Normal"/>
    <w:next w:val="Normal"/>
    <w:qFormat/>
    <w:rsid w:val="00CA666C"/>
    <w:pPr>
      <w:keepNext/>
      <w:jc w:val="both"/>
      <w:outlineLvl w:val="1"/>
    </w:pPr>
    <w:rPr>
      <w:rFonts w:ascii=".VnTimeH" w:hAnsi=".VnTimeH"/>
      <w:b/>
      <w:sz w:val="26"/>
      <w:szCs w:val="20"/>
    </w:rPr>
  </w:style>
  <w:style w:type="paragraph" w:styleId="Heading3">
    <w:name w:val="heading 3"/>
    <w:basedOn w:val="Normal"/>
    <w:next w:val="Normal"/>
    <w:qFormat/>
    <w:rsid w:val="00CA666C"/>
    <w:pPr>
      <w:keepNext/>
      <w:jc w:val="both"/>
      <w:outlineLvl w:val="2"/>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15D2"/>
    <w:pPr>
      <w:jc w:val="both"/>
    </w:pPr>
    <w:rPr>
      <w:rFonts w:ascii=".VnTime" w:hAnsi=".VnTime"/>
      <w:sz w:val="28"/>
      <w:szCs w:val="20"/>
    </w:rPr>
  </w:style>
  <w:style w:type="paragraph" w:styleId="BodyTextIndent">
    <w:name w:val="Body Text Indent"/>
    <w:basedOn w:val="Normal"/>
    <w:rsid w:val="004F15D2"/>
    <w:pPr>
      <w:ind w:firstLine="720"/>
      <w:jc w:val="both"/>
    </w:pPr>
    <w:rPr>
      <w:rFonts w:ascii=".VnTime" w:hAnsi=".VnTime"/>
      <w:sz w:val="28"/>
      <w:szCs w:val="20"/>
    </w:rPr>
  </w:style>
  <w:style w:type="paragraph" w:styleId="BodyTextIndent2">
    <w:name w:val="Body Text Indent 2"/>
    <w:basedOn w:val="Normal"/>
    <w:rsid w:val="00CA666C"/>
    <w:pPr>
      <w:spacing w:after="120" w:line="480" w:lineRule="auto"/>
      <w:ind w:left="360"/>
    </w:pPr>
    <w:rPr>
      <w:rFonts w:ascii=".VnTime" w:hAnsi=".VnTime"/>
      <w:sz w:val="28"/>
      <w:szCs w:val="20"/>
    </w:rPr>
  </w:style>
  <w:style w:type="paragraph" w:styleId="BodyTextIndent3">
    <w:name w:val="Body Text Indent 3"/>
    <w:basedOn w:val="Normal"/>
    <w:rsid w:val="00CA666C"/>
    <w:pPr>
      <w:spacing w:after="120"/>
      <w:ind w:left="360"/>
    </w:pPr>
    <w:rPr>
      <w:rFonts w:ascii=".VnTime" w:hAnsi=".VnTime"/>
      <w:sz w:val="16"/>
      <w:szCs w:val="16"/>
    </w:rPr>
  </w:style>
  <w:style w:type="paragraph" w:styleId="BodyText2">
    <w:name w:val="Body Text 2"/>
    <w:basedOn w:val="Normal"/>
    <w:rsid w:val="00CA666C"/>
    <w:pPr>
      <w:spacing w:line="320" w:lineRule="exact"/>
      <w:ind w:right="113"/>
      <w:jc w:val="both"/>
    </w:pPr>
    <w:rPr>
      <w:rFonts w:ascii=".VnTime" w:hAnsi=".VnTime"/>
      <w:sz w:val="28"/>
      <w:szCs w:val="20"/>
    </w:rPr>
  </w:style>
  <w:style w:type="paragraph" w:styleId="Footer">
    <w:name w:val="footer"/>
    <w:basedOn w:val="Normal"/>
    <w:link w:val="FooterChar"/>
    <w:uiPriority w:val="99"/>
    <w:rsid w:val="001A6934"/>
    <w:pPr>
      <w:tabs>
        <w:tab w:val="center" w:pos="4320"/>
        <w:tab w:val="right" w:pos="8640"/>
      </w:tabs>
    </w:pPr>
  </w:style>
  <w:style w:type="character" w:styleId="PageNumber">
    <w:name w:val="page number"/>
    <w:basedOn w:val="DefaultParagraphFont"/>
    <w:rsid w:val="001A6934"/>
  </w:style>
  <w:style w:type="paragraph" w:styleId="Header">
    <w:name w:val="header"/>
    <w:basedOn w:val="Normal"/>
    <w:link w:val="HeaderChar"/>
    <w:uiPriority w:val="99"/>
    <w:rsid w:val="009A284E"/>
    <w:pPr>
      <w:tabs>
        <w:tab w:val="center" w:pos="4320"/>
        <w:tab w:val="right" w:pos="8640"/>
      </w:tabs>
    </w:pPr>
  </w:style>
  <w:style w:type="paragraph" w:customStyle="1" w:styleId="CharCharChar">
    <w:name w:val="Char Char Char"/>
    <w:basedOn w:val="Normal"/>
    <w:rsid w:val="00557AEB"/>
    <w:pPr>
      <w:spacing w:after="160" w:line="240" w:lineRule="exact"/>
    </w:pPr>
    <w:rPr>
      <w:rFonts w:ascii="Tahoma" w:eastAsia="PMingLiU" w:hAnsi="Tahoma"/>
      <w:sz w:val="20"/>
      <w:szCs w:val="20"/>
    </w:rPr>
  </w:style>
  <w:style w:type="paragraph" w:styleId="BalloonText">
    <w:name w:val="Balloon Text"/>
    <w:basedOn w:val="Normal"/>
    <w:semiHidden/>
    <w:rsid w:val="00230EF5"/>
    <w:rPr>
      <w:rFonts w:ascii="Tahoma" w:hAnsi="Tahoma" w:cs="Tahoma"/>
      <w:sz w:val="16"/>
      <w:szCs w:val="16"/>
    </w:rPr>
  </w:style>
  <w:style w:type="paragraph" w:customStyle="1" w:styleId="Char13">
    <w:name w:val="Char13"/>
    <w:basedOn w:val="Normal"/>
    <w:rsid w:val="006D299A"/>
    <w:pPr>
      <w:spacing w:after="160" w:line="240" w:lineRule="exact"/>
    </w:pPr>
    <w:rPr>
      <w:rFonts w:ascii="Verdana" w:hAnsi="Verdana" w:cs="Verdana"/>
      <w:sz w:val="20"/>
      <w:szCs w:val="20"/>
    </w:rPr>
  </w:style>
  <w:style w:type="paragraph" w:customStyle="1" w:styleId="CharCharCharChar">
    <w:name w:val="Char Char Char Char"/>
    <w:basedOn w:val="Normal"/>
    <w:rsid w:val="00567E01"/>
    <w:pPr>
      <w:spacing w:after="160" w:line="240" w:lineRule="exact"/>
    </w:pPr>
    <w:rPr>
      <w:rFonts w:ascii="Verdana" w:hAnsi="Verdana"/>
      <w:sz w:val="20"/>
      <w:szCs w:val="20"/>
    </w:rPr>
  </w:style>
  <w:style w:type="character" w:customStyle="1" w:styleId="HeaderChar">
    <w:name w:val="Header Char"/>
    <w:link w:val="Header"/>
    <w:uiPriority w:val="99"/>
    <w:rsid w:val="00CD536F"/>
    <w:rPr>
      <w:noProof/>
      <w:sz w:val="24"/>
      <w:szCs w:val="24"/>
    </w:rPr>
  </w:style>
  <w:style w:type="character" w:customStyle="1" w:styleId="FooterChar">
    <w:name w:val="Footer Char"/>
    <w:link w:val="Footer"/>
    <w:uiPriority w:val="99"/>
    <w:rsid w:val="00CD536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VNN.R9</dc:creator>
  <cp:lastModifiedBy>Admin</cp:lastModifiedBy>
  <cp:revision>2</cp:revision>
  <cp:lastPrinted>2017-12-13T01:29:00Z</cp:lastPrinted>
  <dcterms:created xsi:type="dcterms:W3CDTF">2023-11-09T13:52:00Z</dcterms:created>
  <dcterms:modified xsi:type="dcterms:W3CDTF">2023-11-09T13:52:00Z</dcterms:modified>
</cp:coreProperties>
</file>